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FE" w:rsidRDefault="007F3DFE" w:rsidP="007F3DFE">
      <w:pPr>
        <w:pStyle w:val="Heading1"/>
        <w:spacing w:before="0"/>
        <w:jc w:val="center"/>
        <w:rPr>
          <w:rFonts w:asciiTheme="majorHAnsi" w:hAnsiTheme="majorHAnsi"/>
        </w:rPr>
      </w:pPr>
    </w:p>
    <w:p w:rsidR="007F3DFE" w:rsidRPr="007F3DFE" w:rsidRDefault="007F3DFE" w:rsidP="007F3DFE">
      <w:pPr>
        <w:rPr>
          <w:lang w:val="en-IE"/>
        </w:rPr>
      </w:pPr>
    </w:p>
    <w:p w:rsidR="007F3DFE" w:rsidRPr="00C96B0F" w:rsidRDefault="007F3DFE" w:rsidP="007F3DFE">
      <w:pPr>
        <w:rPr>
          <w:b/>
          <w:sz w:val="28"/>
          <w:szCs w:val="28"/>
          <w:lang w:val="en-IE"/>
        </w:rPr>
      </w:pPr>
    </w:p>
    <w:p w:rsidR="007F3DFE" w:rsidRPr="009F15FB" w:rsidRDefault="007F3DFE" w:rsidP="007F3DFE">
      <w:pPr>
        <w:pStyle w:val="Heading1"/>
        <w:spacing w:before="0"/>
        <w:jc w:val="center"/>
        <w:rPr>
          <w:rFonts w:asciiTheme="majorHAnsi" w:hAnsiTheme="majorHAnsi"/>
          <w:sz w:val="48"/>
          <w:szCs w:val="48"/>
        </w:rPr>
      </w:pPr>
      <w:r w:rsidRPr="009F15FB">
        <w:rPr>
          <w:rFonts w:asciiTheme="majorHAnsi" w:hAnsiTheme="majorHAnsi"/>
          <w:sz w:val="48"/>
          <w:szCs w:val="48"/>
        </w:rPr>
        <w:t xml:space="preserve">IHCA Pre-Budget </w:t>
      </w:r>
      <w:r w:rsidR="00115852" w:rsidRPr="009F15FB">
        <w:rPr>
          <w:rFonts w:asciiTheme="majorHAnsi" w:hAnsiTheme="majorHAnsi"/>
          <w:sz w:val="48"/>
          <w:szCs w:val="48"/>
        </w:rPr>
        <w:t xml:space="preserve">Health Sector </w:t>
      </w:r>
      <w:r w:rsidRPr="009F15FB">
        <w:rPr>
          <w:rFonts w:asciiTheme="majorHAnsi" w:hAnsiTheme="majorHAnsi"/>
          <w:sz w:val="48"/>
          <w:szCs w:val="48"/>
        </w:rPr>
        <w:t xml:space="preserve">Submission </w:t>
      </w:r>
    </w:p>
    <w:p w:rsidR="00115852" w:rsidRPr="009F15FB" w:rsidRDefault="00115852" w:rsidP="007F3DFE">
      <w:pPr>
        <w:pStyle w:val="Heading1"/>
        <w:spacing w:before="0"/>
        <w:jc w:val="center"/>
        <w:rPr>
          <w:rFonts w:asciiTheme="majorHAnsi" w:hAnsiTheme="majorHAnsi"/>
          <w:sz w:val="48"/>
          <w:szCs w:val="48"/>
        </w:rPr>
      </w:pPr>
    </w:p>
    <w:p w:rsidR="009F15FB" w:rsidRPr="009F15FB" w:rsidRDefault="009F15FB" w:rsidP="009F15FB">
      <w:pPr>
        <w:rPr>
          <w:sz w:val="48"/>
          <w:szCs w:val="48"/>
          <w:lang w:val="en-IE"/>
        </w:rPr>
      </w:pPr>
    </w:p>
    <w:p w:rsidR="009F15FB" w:rsidRPr="009F15FB" w:rsidRDefault="009F15FB" w:rsidP="009F15FB">
      <w:pPr>
        <w:rPr>
          <w:lang w:val="en-IE"/>
        </w:rPr>
      </w:pPr>
    </w:p>
    <w:p w:rsidR="00115852" w:rsidRDefault="000B495A" w:rsidP="007F3DFE">
      <w:pPr>
        <w:pStyle w:val="Heading1"/>
        <w:spacing w:before="0"/>
        <w:jc w:val="center"/>
        <w:rPr>
          <w:rFonts w:asciiTheme="majorHAnsi" w:hAnsiTheme="majorHAnsi"/>
          <w:sz w:val="40"/>
          <w:szCs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19.25pt">
            <v:imagedata r:id="rId8" o:title="IHCA logo blue"/>
          </v:shape>
        </w:pict>
      </w:r>
    </w:p>
    <w:p w:rsidR="00115852" w:rsidRDefault="00115852" w:rsidP="007F3DFE">
      <w:pPr>
        <w:pStyle w:val="Heading1"/>
        <w:spacing w:before="0"/>
        <w:jc w:val="center"/>
        <w:rPr>
          <w:rFonts w:asciiTheme="majorHAnsi" w:hAnsiTheme="majorHAnsi"/>
          <w:sz w:val="40"/>
          <w:szCs w:val="40"/>
        </w:rPr>
      </w:pPr>
    </w:p>
    <w:p w:rsidR="009F15FB" w:rsidRDefault="009F15FB" w:rsidP="007F3DFE">
      <w:pPr>
        <w:pStyle w:val="Heading1"/>
        <w:spacing w:before="0"/>
        <w:jc w:val="center"/>
        <w:rPr>
          <w:rFonts w:asciiTheme="majorHAnsi" w:hAnsiTheme="majorHAnsi"/>
          <w:sz w:val="40"/>
          <w:szCs w:val="40"/>
        </w:rPr>
      </w:pPr>
    </w:p>
    <w:p w:rsidR="009F15FB" w:rsidRDefault="009F15FB" w:rsidP="007F3DFE">
      <w:pPr>
        <w:pStyle w:val="Heading1"/>
        <w:spacing w:before="0"/>
        <w:jc w:val="center"/>
        <w:rPr>
          <w:rFonts w:asciiTheme="majorHAnsi" w:hAnsiTheme="majorHAnsi"/>
          <w:sz w:val="40"/>
          <w:szCs w:val="40"/>
        </w:rPr>
      </w:pPr>
    </w:p>
    <w:p w:rsidR="009F15FB" w:rsidRDefault="009F15FB" w:rsidP="007F3DFE">
      <w:pPr>
        <w:pStyle w:val="Heading1"/>
        <w:spacing w:before="0"/>
        <w:jc w:val="center"/>
        <w:rPr>
          <w:rFonts w:asciiTheme="majorHAnsi" w:hAnsiTheme="majorHAnsi"/>
          <w:sz w:val="40"/>
          <w:szCs w:val="40"/>
        </w:rPr>
      </w:pPr>
    </w:p>
    <w:p w:rsidR="007F3DFE" w:rsidRPr="007F3DFE" w:rsidRDefault="007F3DFE" w:rsidP="007F3DFE">
      <w:pPr>
        <w:pStyle w:val="Heading1"/>
        <w:spacing w:before="0"/>
        <w:jc w:val="center"/>
        <w:rPr>
          <w:rFonts w:asciiTheme="majorHAnsi" w:hAnsiTheme="majorHAnsi"/>
          <w:sz w:val="40"/>
          <w:szCs w:val="40"/>
        </w:rPr>
      </w:pPr>
      <w:r>
        <w:rPr>
          <w:rFonts w:asciiTheme="majorHAnsi" w:hAnsiTheme="majorHAnsi"/>
          <w:sz w:val="40"/>
          <w:szCs w:val="40"/>
        </w:rPr>
        <w:t>S</w:t>
      </w:r>
      <w:r w:rsidRPr="007F3DFE">
        <w:rPr>
          <w:rFonts w:asciiTheme="majorHAnsi" w:hAnsiTheme="majorHAnsi"/>
          <w:sz w:val="40"/>
          <w:szCs w:val="40"/>
        </w:rPr>
        <w:t>eptember 14</w:t>
      </w:r>
      <w:r w:rsidRPr="007F3DFE">
        <w:rPr>
          <w:rFonts w:asciiTheme="majorHAnsi" w:hAnsiTheme="majorHAnsi"/>
          <w:sz w:val="40"/>
          <w:szCs w:val="40"/>
          <w:vertAlign w:val="superscript"/>
        </w:rPr>
        <w:t>th</w:t>
      </w:r>
      <w:r w:rsidRPr="007F3DFE">
        <w:rPr>
          <w:rFonts w:asciiTheme="majorHAnsi" w:hAnsiTheme="majorHAnsi"/>
          <w:sz w:val="40"/>
          <w:szCs w:val="40"/>
        </w:rPr>
        <w:t>, 2010</w:t>
      </w:r>
    </w:p>
    <w:p w:rsidR="007F3DFE" w:rsidRDefault="007F3DFE" w:rsidP="007F3DFE">
      <w:pPr>
        <w:rPr>
          <w:lang w:val="en-IE"/>
        </w:rPr>
      </w:pPr>
    </w:p>
    <w:p w:rsidR="007F3DFE" w:rsidRDefault="009F15FB" w:rsidP="007F3DFE">
      <w:pPr>
        <w:pStyle w:val="Header"/>
        <w:shd w:val="clear" w:color="auto" w:fill="FFFFFF"/>
        <w:tabs>
          <w:tab w:val="clear" w:pos="9360"/>
          <w:tab w:val="right" w:pos="9356"/>
        </w:tabs>
        <w:rPr>
          <w:rFonts w:ascii="Cambria" w:hAnsi="Cambria"/>
          <w:b/>
          <w:bCs/>
          <w:sz w:val="28"/>
          <w:lang w:val="en-IE"/>
        </w:rPr>
      </w:pPr>
      <w:r>
        <w:rPr>
          <w:rFonts w:ascii="Cambria" w:hAnsi="Cambria"/>
          <w:b/>
          <w:bCs/>
          <w:sz w:val="28"/>
          <w:lang w:val="en-IE"/>
        </w:rPr>
        <w:t>I</w:t>
      </w:r>
      <w:r w:rsidR="007F3DFE">
        <w:rPr>
          <w:rFonts w:ascii="Cambria" w:hAnsi="Cambria"/>
          <w:b/>
          <w:bCs/>
          <w:sz w:val="28"/>
          <w:lang w:val="en-IE"/>
        </w:rPr>
        <w:t>RISH HOSPITAL CONSULTANTS ASSOCIATION</w:t>
      </w:r>
    </w:p>
    <w:p w:rsidR="007F3DFE" w:rsidRPr="00952066" w:rsidRDefault="007F3DFE" w:rsidP="007F3DFE">
      <w:pPr>
        <w:pStyle w:val="NoSpacing"/>
        <w:rPr>
          <w:lang w:val="en-IE"/>
        </w:rPr>
      </w:pPr>
      <w:r w:rsidRPr="00952066">
        <w:rPr>
          <w:lang w:val="en-IE"/>
        </w:rPr>
        <w:t xml:space="preserve">HERITAGE HOUSE                                                 </w:t>
      </w:r>
      <w:r>
        <w:rPr>
          <w:lang w:val="en-IE"/>
        </w:rPr>
        <w:tab/>
      </w:r>
      <w:r w:rsidRPr="00952066">
        <w:rPr>
          <w:lang w:val="en-IE"/>
        </w:rPr>
        <w:tab/>
      </w:r>
      <w:r>
        <w:rPr>
          <w:lang w:val="en-IE"/>
        </w:rPr>
        <w:tab/>
      </w:r>
      <w:r>
        <w:rPr>
          <w:lang w:val="en-IE"/>
        </w:rPr>
        <w:tab/>
      </w:r>
      <w:r w:rsidRPr="00952066">
        <w:rPr>
          <w:lang w:val="en-IE"/>
        </w:rPr>
        <w:t xml:space="preserve"> TELEPHONE: 298 9123</w:t>
      </w:r>
    </w:p>
    <w:p w:rsidR="007F3DFE" w:rsidRPr="00952066" w:rsidRDefault="007F3DFE" w:rsidP="007F3DFE">
      <w:pPr>
        <w:pStyle w:val="NoSpacing"/>
        <w:rPr>
          <w:lang w:val="en-IE"/>
        </w:rPr>
      </w:pPr>
      <w:r w:rsidRPr="00952066">
        <w:rPr>
          <w:lang w:val="en-IE"/>
        </w:rPr>
        <w:t xml:space="preserve">DUNDRUM OFFICE PARK                                                      </w:t>
      </w:r>
      <w:r w:rsidRPr="00952066">
        <w:rPr>
          <w:lang w:val="en-IE"/>
        </w:rPr>
        <w:tab/>
      </w:r>
      <w:r>
        <w:rPr>
          <w:lang w:val="en-IE"/>
        </w:rPr>
        <w:tab/>
      </w:r>
      <w:r>
        <w:rPr>
          <w:lang w:val="en-IE"/>
        </w:rPr>
        <w:tab/>
        <w:t xml:space="preserve"> </w:t>
      </w:r>
      <w:r w:rsidRPr="00952066">
        <w:rPr>
          <w:lang w:val="en-IE"/>
        </w:rPr>
        <w:t>FAX: 298 9395</w:t>
      </w:r>
    </w:p>
    <w:p w:rsidR="007F3DFE" w:rsidRPr="00952066" w:rsidRDefault="007F3DFE" w:rsidP="007F3DFE">
      <w:pPr>
        <w:pStyle w:val="NoSpacing"/>
        <w:tabs>
          <w:tab w:val="left" w:pos="6521"/>
        </w:tabs>
        <w:rPr>
          <w:lang w:val="en-IE"/>
        </w:rPr>
      </w:pPr>
      <w:r w:rsidRPr="00952066">
        <w:rPr>
          <w:lang w:val="en-IE"/>
        </w:rPr>
        <w:t xml:space="preserve">DUBLIN 14                                 </w:t>
      </w:r>
      <w:r>
        <w:rPr>
          <w:lang w:val="en-IE"/>
        </w:rPr>
        <w:t xml:space="preserve">                             </w:t>
      </w:r>
      <w:r>
        <w:rPr>
          <w:lang w:val="en-IE"/>
        </w:rPr>
        <w:tab/>
        <w:t xml:space="preserve"> </w:t>
      </w:r>
      <w:r w:rsidRPr="00952066">
        <w:rPr>
          <w:lang w:val="en-IE"/>
        </w:rPr>
        <w:t xml:space="preserve">e-mail: </w:t>
      </w:r>
      <w:hyperlink r:id="rId9" w:history="1">
        <w:r w:rsidRPr="00952066">
          <w:rPr>
            <w:rStyle w:val="Hyperlink"/>
            <w:rFonts w:ascii="Cambria" w:hAnsi="Cambria"/>
            <w:lang w:val="en-IE"/>
          </w:rPr>
          <w:t>info@ihca.ie</w:t>
        </w:r>
      </w:hyperlink>
      <w:r>
        <w:rPr>
          <w:lang w:val="en-IE"/>
        </w:rPr>
        <w:tab/>
      </w:r>
    </w:p>
    <w:p w:rsidR="007F3DFE" w:rsidRPr="00305EFF" w:rsidRDefault="007F3DFE" w:rsidP="007F3DFE">
      <w:pPr>
        <w:pStyle w:val="Header"/>
        <w:shd w:val="clear" w:color="auto" w:fill="FFFFFF"/>
        <w:tabs>
          <w:tab w:val="clear" w:pos="9360"/>
          <w:tab w:val="left" w:pos="6521"/>
          <w:tab w:val="right" w:pos="9356"/>
        </w:tabs>
        <w:rPr>
          <w:lang w:val="en-IE"/>
        </w:rPr>
        <w:sectPr w:rsidR="007F3DFE" w:rsidRPr="00305EFF" w:rsidSect="005C676E">
          <w:headerReference w:type="default" r:id="rId10"/>
          <w:footerReference w:type="default" r:id="rId11"/>
          <w:pgSz w:w="11907" w:h="16839" w:code="9"/>
          <w:pgMar w:top="1440" w:right="1440" w:bottom="1440" w:left="1440" w:header="709" w:footer="709" w:gutter="0"/>
          <w:pgBorders w:display="not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r w:rsidRPr="00952066">
        <w:rPr>
          <w:rFonts w:ascii="Cambria" w:hAnsi="Cambria"/>
          <w:lang w:val="en-IE"/>
        </w:rPr>
        <w:t xml:space="preserve">                                                                             </w:t>
      </w:r>
      <w:r w:rsidRPr="00952066">
        <w:rPr>
          <w:rFonts w:ascii="Cambria" w:hAnsi="Cambria"/>
          <w:lang w:val="en-IE"/>
        </w:rPr>
        <w:tab/>
        <w:t xml:space="preserve">  </w:t>
      </w:r>
      <w:r>
        <w:rPr>
          <w:rFonts w:ascii="Cambria" w:hAnsi="Cambria"/>
          <w:lang w:val="en-IE"/>
        </w:rPr>
        <w:tab/>
      </w:r>
      <w:r w:rsidRPr="00952066">
        <w:rPr>
          <w:rFonts w:ascii="Cambria" w:hAnsi="Cambria"/>
          <w:lang w:val="en-IE"/>
        </w:rPr>
        <w:t xml:space="preserve">Website: </w:t>
      </w:r>
      <w:hyperlink r:id="rId12" w:history="1">
        <w:r w:rsidRPr="00E661A8">
          <w:rPr>
            <w:rStyle w:val="Hyperlink"/>
            <w:rFonts w:ascii="Cambria" w:hAnsi="Cambria"/>
            <w:lang w:val="en-IE"/>
          </w:rPr>
          <w:t>www.ihca.ie</w:t>
        </w:r>
      </w:hyperlink>
      <w:r>
        <w:rPr>
          <w:rFonts w:ascii="Cambria" w:hAnsi="Cambria"/>
          <w:lang w:val="en-IE"/>
        </w:rPr>
        <w:t xml:space="preserve"> </w:t>
      </w:r>
    </w:p>
    <w:p w:rsidR="00061416" w:rsidRPr="00115852" w:rsidRDefault="00115852" w:rsidP="00061416">
      <w:pPr>
        <w:spacing w:after="0" w:line="240" w:lineRule="auto"/>
        <w:ind w:left="720"/>
        <w:rPr>
          <w:rFonts w:asciiTheme="majorHAnsi" w:hAnsiTheme="majorHAnsi"/>
          <w:b/>
          <w:sz w:val="28"/>
          <w:szCs w:val="28"/>
        </w:rPr>
      </w:pPr>
      <w:r w:rsidRPr="00115852">
        <w:rPr>
          <w:rFonts w:asciiTheme="majorHAnsi" w:hAnsiTheme="majorHAnsi"/>
          <w:b/>
          <w:sz w:val="28"/>
          <w:szCs w:val="28"/>
        </w:rPr>
        <w:lastRenderedPageBreak/>
        <w:t>Health Budget Underfunding</w:t>
      </w:r>
    </w:p>
    <w:p w:rsidR="00E371C7" w:rsidRDefault="00E371C7" w:rsidP="00514643">
      <w:pPr>
        <w:numPr>
          <w:ilvl w:val="0"/>
          <w:numId w:val="4"/>
        </w:numPr>
        <w:spacing w:after="0" w:line="240" w:lineRule="auto"/>
        <w:rPr>
          <w:rFonts w:asciiTheme="majorHAnsi" w:hAnsiTheme="majorHAnsi"/>
        </w:rPr>
      </w:pPr>
      <w:r>
        <w:rPr>
          <w:rFonts w:asciiTheme="majorHAnsi" w:hAnsiTheme="majorHAnsi"/>
        </w:rPr>
        <w:t xml:space="preserve">Based on the increasing demand for health services and the underfunding in recent years, the </w:t>
      </w:r>
      <w:r w:rsidR="009F15FB">
        <w:rPr>
          <w:rFonts w:asciiTheme="majorHAnsi" w:hAnsiTheme="majorHAnsi"/>
        </w:rPr>
        <w:t>b</w:t>
      </w:r>
      <w:r>
        <w:rPr>
          <w:rFonts w:asciiTheme="majorHAnsi" w:hAnsiTheme="majorHAnsi"/>
        </w:rPr>
        <w:t xml:space="preserve">udget </w:t>
      </w:r>
      <w:r w:rsidR="009F15FB">
        <w:rPr>
          <w:rFonts w:asciiTheme="majorHAnsi" w:hAnsiTheme="majorHAnsi"/>
        </w:rPr>
        <w:t xml:space="preserve">funding for acute hospitals and mental health services </w:t>
      </w:r>
      <w:r>
        <w:rPr>
          <w:rFonts w:asciiTheme="majorHAnsi" w:hAnsiTheme="majorHAnsi"/>
        </w:rPr>
        <w:t>should be increased in 2011 and not reduced as seems to be proposed by the Government.</w:t>
      </w:r>
    </w:p>
    <w:p w:rsidR="00061416" w:rsidRDefault="00061416" w:rsidP="00061416">
      <w:pPr>
        <w:spacing w:after="0" w:line="240" w:lineRule="auto"/>
        <w:ind w:left="720"/>
        <w:rPr>
          <w:rFonts w:asciiTheme="majorHAnsi" w:hAnsiTheme="majorHAnsi"/>
        </w:rPr>
      </w:pPr>
    </w:p>
    <w:p w:rsidR="00581F3E" w:rsidRDefault="0011374B" w:rsidP="00514643">
      <w:pPr>
        <w:numPr>
          <w:ilvl w:val="0"/>
          <w:numId w:val="4"/>
        </w:numPr>
        <w:spacing w:after="0" w:line="240" w:lineRule="auto"/>
        <w:rPr>
          <w:rFonts w:asciiTheme="majorHAnsi" w:hAnsiTheme="majorHAnsi"/>
        </w:rPr>
      </w:pPr>
      <w:r>
        <w:rPr>
          <w:rFonts w:asciiTheme="majorHAnsi" w:hAnsiTheme="majorHAnsi"/>
        </w:rPr>
        <w:t>HSE B</w:t>
      </w:r>
      <w:r w:rsidR="00581F3E" w:rsidRPr="0011374B">
        <w:rPr>
          <w:rFonts w:asciiTheme="majorHAnsi" w:hAnsiTheme="majorHAnsi"/>
        </w:rPr>
        <w:t>udgets and National Service Plans have over the past</w:t>
      </w:r>
      <w:r w:rsidR="009447C7" w:rsidRPr="0011374B">
        <w:rPr>
          <w:rFonts w:asciiTheme="majorHAnsi" w:hAnsiTheme="majorHAnsi"/>
        </w:rPr>
        <w:t xml:space="preserve"> four</w:t>
      </w:r>
      <w:r w:rsidR="00581F3E" w:rsidRPr="0011374B">
        <w:rPr>
          <w:rFonts w:asciiTheme="majorHAnsi" w:hAnsiTheme="majorHAnsi"/>
        </w:rPr>
        <w:t xml:space="preserve"> years (1997-2010) underestimated</w:t>
      </w:r>
      <w:r w:rsidR="00E12423">
        <w:rPr>
          <w:rFonts w:asciiTheme="majorHAnsi" w:hAnsiTheme="majorHAnsi"/>
        </w:rPr>
        <w:t xml:space="preserve"> t</w:t>
      </w:r>
      <w:r w:rsidR="00581F3E" w:rsidRPr="0011374B">
        <w:rPr>
          <w:rFonts w:asciiTheme="majorHAnsi" w:hAnsiTheme="majorHAnsi"/>
        </w:rPr>
        <w:t xml:space="preserve">he demand for health services resulting in restrictions </w:t>
      </w:r>
      <w:r w:rsidR="00FD63FF">
        <w:rPr>
          <w:rFonts w:asciiTheme="majorHAnsi" w:hAnsiTheme="majorHAnsi"/>
        </w:rPr>
        <w:t xml:space="preserve">on service delivery and patient care </w:t>
      </w:r>
      <w:r w:rsidR="00581F3E" w:rsidRPr="0011374B">
        <w:rPr>
          <w:rFonts w:asciiTheme="majorHAnsi" w:hAnsiTheme="majorHAnsi"/>
        </w:rPr>
        <w:t>due to insufficient funding</w:t>
      </w:r>
      <w:r w:rsidR="00E371C7">
        <w:rPr>
          <w:rFonts w:asciiTheme="majorHAnsi" w:hAnsiTheme="majorHAnsi"/>
        </w:rPr>
        <w:t>.  These</w:t>
      </w:r>
      <w:r w:rsidR="00FD63FF">
        <w:rPr>
          <w:rFonts w:asciiTheme="majorHAnsi" w:hAnsiTheme="majorHAnsi"/>
        </w:rPr>
        <w:t xml:space="preserve"> restrictions have seriously under</w:t>
      </w:r>
      <w:r w:rsidR="0049151C">
        <w:rPr>
          <w:rFonts w:asciiTheme="majorHAnsi" w:hAnsiTheme="majorHAnsi"/>
        </w:rPr>
        <w:t>mined</w:t>
      </w:r>
      <w:r w:rsidR="00FD63FF">
        <w:rPr>
          <w:rFonts w:asciiTheme="majorHAnsi" w:hAnsiTheme="majorHAnsi"/>
        </w:rPr>
        <w:t xml:space="preserve"> the capacity of </w:t>
      </w:r>
      <w:r w:rsidR="00E371C7">
        <w:rPr>
          <w:rFonts w:asciiTheme="majorHAnsi" w:hAnsiTheme="majorHAnsi"/>
        </w:rPr>
        <w:t>a</w:t>
      </w:r>
      <w:r w:rsidR="00FD63FF">
        <w:rPr>
          <w:rFonts w:asciiTheme="majorHAnsi" w:hAnsiTheme="majorHAnsi"/>
        </w:rPr>
        <w:t xml:space="preserve">cute </w:t>
      </w:r>
      <w:r w:rsidR="00E371C7">
        <w:rPr>
          <w:rFonts w:asciiTheme="majorHAnsi" w:hAnsiTheme="majorHAnsi"/>
        </w:rPr>
        <w:t>h</w:t>
      </w:r>
      <w:r w:rsidR="00FD63FF">
        <w:rPr>
          <w:rFonts w:asciiTheme="majorHAnsi" w:hAnsiTheme="majorHAnsi"/>
        </w:rPr>
        <w:t xml:space="preserve">ospitals and </w:t>
      </w:r>
      <w:r w:rsidR="00141613">
        <w:rPr>
          <w:rFonts w:asciiTheme="majorHAnsi" w:hAnsiTheme="majorHAnsi"/>
        </w:rPr>
        <w:t xml:space="preserve">mental health </w:t>
      </w:r>
      <w:r w:rsidR="00FD63FF">
        <w:rPr>
          <w:rFonts w:asciiTheme="majorHAnsi" w:hAnsiTheme="majorHAnsi"/>
        </w:rPr>
        <w:t>services to</w:t>
      </w:r>
      <w:r w:rsidR="00E12423">
        <w:rPr>
          <w:rFonts w:asciiTheme="majorHAnsi" w:hAnsiTheme="majorHAnsi"/>
        </w:rPr>
        <w:t xml:space="preserve"> provide the level of care required</w:t>
      </w:r>
      <w:r w:rsidR="00FD63FF">
        <w:rPr>
          <w:rFonts w:asciiTheme="majorHAnsi" w:hAnsiTheme="majorHAnsi"/>
        </w:rPr>
        <w:t xml:space="preserve"> </w:t>
      </w:r>
      <w:r w:rsidR="004B7C96">
        <w:rPr>
          <w:rFonts w:asciiTheme="majorHAnsi" w:hAnsiTheme="majorHAnsi"/>
        </w:rPr>
        <w:t>for</w:t>
      </w:r>
      <w:r w:rsidR="00FD63FF">
        <w:rPr>
          <w:rFonts w:asciiTheme="majorHAnsi" w:hAnsiTheme="majorHAnsi"/>
        </w:rPr>
        <w:t xml:space="preserve"> an ag</w:t>
      </w:r>
      <w:r w:rsidR="00E12423">
        <w:rPr>
          <w:rFonts w:asciiTheme="majorHAnsi" w:hAnsiTheme="majorHAnsi"/>
        </w:rPr>
        <w:t>e</w:t>
      </w:r>
      <w:r w:rsidR="00FD63FF">
        <w:rPr>
          <w:rFonts w:asciiTheme="majorHAnsi" w:hAnsiTheme="majorHAnsi"/>
        </w:rPr>
        <w:t>ing population.</w:t>
      </w:r>
      <w:r w:rsidR="00581F3E" w:rsidRPr="0011374B">
        <w:rPr>
          <w:rFonts w:asciiTheme="majorHAnsi" w:hAnsiTheme="majorHAnsi"/>
        </w:rPr>
        <w:t xml:space="preserve">  </w:t>
      </w:r>
    </w:p>
    <w:p w:rsidR="00061416" w:rsidRPr="0011374B" w:rsidRDefault="00061416" w:rsidP="00061416">
      <w:pPr>
        <w:spacing w:after="0" w:line="240" w:lineRule="auto"/>
        <w:rPr>
          <w:rFonts w:asciiTheme="majorHAnsi" w:hAnsiTheme="majorHAnsi"/>
        </w:rPr>
      </w:pPr>
    </w:p>
    <w:p w:rsidR="00581F3E" w:rsidRDefault="009447C7" w:rsidP="00514643">
      <w:pPr>
        <w:numPr>
          <w:ilvl w:val="0"/>
          <w:numId w:val="4"/>
        </w:numPr>
        <w:spacing w:after="0" w:line="240" w:lineRule="auto"/>
        <w:rPr>
          <w:rFonts w:asciiTheme="majorHAnsi" w:hAnsiTheme="majorHAnsi"/>
        </w:rPr>
      </w:pPr>
      <w:r w:rsidRPr="0011374B">
        <w:rPr>
          <w:rFonts w:asciiTheme="majorHAnsi" w:hAnsiTheme="majorHAnsi"/>
        </w:rPr>
        <w:t>The 2010 HSE Bu</w:t>
      </w:r>
      <w:r w:rsidR="00581F3E" w:rsidRPr="0011374B">
        <w:rPr>
          <w:rFonts w:asciiTheme="majorHAnsi" w:hAnsiTheme="majorHAnsi"/>
        </w:rPr>
        <w:t xml:space="preserve">dget was cut by </w:t>
      </w:r>
      <w:r w:rsidR="009F15FB">
        <w:rPr>
          <w:rFonts w:asciiTheme="majorHAnsi" w:hAnsiTheme="majorHAnsi"/>
        </w:rPr>
        <w:t xml:space="preserve">over </w:t>
      </w:r>
      <w:r w:rsidR="00581F3E" w:rsidRPr="0011374B">
        <w:rPr>
          <w:rFonts w:asciiTheme="majorHAnsi" w:hAnsiTheme="majorHAnsi"/>
        </w:rPr>
        <w:t>€1</w:t>
      </w:r>
      <w:r w:rsidR="00F14C72">
        <w:rPr>
          <w:rFonts w:asciiTheme="majorHAnsi" w:hAnsiTheme="majorHAnsi"/>
        </w:rPr>
        <w:t>billion</w:t>
      </w:r>
      <w:r w:rsidR="00581F3E" w:rsidRPr="0011374B">
        <w:rPr>
          <w:rFonts w:asciiTheme="majorHAnsi" w:hAnsiTheme="majorHAnsi"/>
        </w:rPr>
        <w:t xml:space="preserve"> </w:t>
      </w:r>
      <w:r w:rsidR="00EB79B9">
        <w:rPr>
          <w:rFonts w:asciiTheme="majorHAnsi" w:hAnsiTheme="majorHAnsi"/>
        </w:rPr>
        <w:t>consisting of</w:t>
      </w:r>
      <w:r w:rsidR="00581F3E" w:rsidRPr="0011374B">
        <w:rPr>
          <w:rFonts w:asciiTheme="majorHAnsi" w:hAnsiTheme="majorHAnsi"/>
        </w:rPr>
        <w:t xml:space="preserve"> an estimated €</w:t>
      </w:r>
      <w:r w:rsidRPr="0011374B">
        <w:rPr>
          <w:rFonts w:asciiTheme="majorHAnsi" w:hAnsiTheme="majorHAnsi"/>
        </w:rPr>
        <w:t>400m non</w:t>
      </w:r>
      <w:r w:rsidR="00EB79B9">
        <w:rPr>
          <w:rFonts w:asciiTheme="majorHAnsi" w:hAnsiTheme="majorHAnsi"/>
        </w:rPr>
        <w:t>-</w:t>
      </w:r>
      <w:r w:rsidRPr="0011374B">
        <w:rPr>
          <w:rFonts w:asciiTheme="majorHAnsi" w:hAnsiTheme="majorHAnsi"/>
        </w:rPr>
        <w:t xml:space="preserve">pay cut </w:t>
      </w:r>
      <w:r w:rsidR="00EB79B9">
        <w:rPr>
          <w:rFonts w:asciiTheme="majorHAnsi" w:hAnsiTheme="majorHAnsi"/>
        </w:rPr>
        <w:t xml:space="preserve">and </w:t>
      </w:r>
      <w:r w:rsidRPr="0011374B">
        <w:rPr>
          <w:rFonts w:asciiTheme="majorHAnsi" w:hAnsiTheme="majorHAnsi"/>
        </w:rPr>
        <w:t>€6</w:t>
      </w:r>
      <w:r w:rsidR="009F15FB">
        <w:rPr>
          <w:rFonts w:asciiTheme="majorHAnsi" w:hAnsiTheme="majorHAnsi"/>
        </w:rPr>
        <w:t>59</w:t>
      </w:r>
      <w:r w:rsidRPr="0011374B">
        <w:rPr>
          <w:rFonts w:asciiTheme="majorHAnsi" w:hAnsiTheme="majorHAnsi"/>
        </w:rPr>
        <w:t xml:space="preserve">m </w:t>
      </w:r>
      <w:r w:rsidR="00FD63FF">
        <w:rPr>
          <w:rFonts w:asciiTheme="majorHAnsi" w:hAnsiTheme="majorHAnsi"/>
        </w:rPr>
        <w:t xml:space="preserve">in </w:t>
      </w:r>
      <w:r w:rsidRPr="0011374B">
        <w:rPr>
          <w:rFonts w:asciiTheme="majorHAnsi" w:hAnsiTheme="majorHAnsi"/>
        </w:rPr>
        <w:t>salary cuts.</w:t>
      </w:r>
    </w:p>
    <w:p w:rsidR="00061416" w:rsidRPr="0011374B" w:rsidRDefault="00061416" w:rsidP="00061416">
      <w:pPr>
        <w:spacing w:after="0" w:line="240" w:lineRule="auto"/>
        <w:rPr>
          <w:rFonts w:asciiTheme="majorHAnsi" w:hAnsiTheme="majorHAnsi"/>
        </w:rPr>
      </w:pPr>
    </w:p>
    <w:p w:rsidR="00581F3E" w:rsidRDefault="009447C7" w:rsidP="00514643">
      <w:pPr>
        <w:numPr>
          <w:ilvl w:val="0"/>
          <w:numId w:val="4"/>
        </w:numPr>
        <w:spacing w:after="0" w:line="240" w:lineRule="auto"/>
        <w:rPr>
          <w:rFonts w:asciiTheme="majorHAnsi" w:hAnsiTheme="majorHAnsi"/>
        </w:rPr>
      </w:pPr>
      <w:r w:rsidRPr="0011374B">
        <w:rPr>
          <w:rFonts w:asciiTheme="majorHAnsi" w:hAnsiTheme="majorHAnsi"/>
        </w:rPr>
        <w:t xml:space="preserve">In </w:t>
      </w:r>
      <w:r w:rsidR="0011374B">
        <w:rPr>
          <w:rFonts w:asciiTheme="majorHAnsi" w:hAnsiTheme="majorHAnsi"/>
        </w:rPr>
        <w:t>2</w:t>
      </w:r>
      <w:r w:rsidRPr="0011374B">
        <w:rPr>
          <w:rFonts w:asciiTheme="majorHAnsi" w:hAnsiTheme="majorHAnsi"/>
        </w:rPr>
        <w:t>007</w:t>
      </w:r>
      <w:r w:rsidR="00141613">
        <w:rPr>
          <w:rFonts w:asciiTheme="majorHAnsi" w:hAnsiTheme="majorHAnsi"/>
        </w:rPr>
        <w:t xml:space="preserve"> and </w:t>
      </w:r>
      <w:r w:rsidRPr="0011374B">
        <w:rPr>
          <w:rFonts w:asciiTheme="majorHAnsi" w:hAnsiTheme="majorHAnsi"/>
        </w:rPr>
        <w:t xml:space="preserve">2008 the HSE Budget </w:t>
      </w:r>
      <w:r w:rsidR="00141613">
        <w:rPr>
          <w:rFonts w:asciiTheme="majorHAnsi" w:hAnsiTheme="majorHAnsi"/>
        </w:rPr>
        <w:t>was</w:t>
      </w:r>
      <w:r w:rsidRPr="0011374B">
        <w:rPr>
          <w:rFonts w:asciiTheme="majorHAnsi" w:hAnsiTheme="majorHAnsi"/>
        </w:rPr>
        <w:t xml:space="preserve"> underfunded by around €250m</w:t>
      </w:r>
      <w:r w:rsidR="004F594C">
        <w:rPr>
          <w:rFonts w:asciiTheme="majorHAnsi" w:hAnsiTheme="majorHAnsi"/>
        </w:rPr>
        <w:t xml:space="preserve"> per annum</w:t>
      </w:r>
      <w:r w:rsidR="00141613">
        <w:rPr>
          <w:rFonts w:asciiTheme="majorHAnsi" w:hAnsiTheme="majorHAnsi"/>
        </w:rPr>
        <w:t>.</w:t>
      </w:r>
      <w:r w:rsidR="0011374B">
        <w:rPr>
          <w:rFonts w:asciiTheme="majorHAnsi" w:hAnsiTheme="majorHAnsi"/>
        </w:rPr>
        <w:t xml:space="preserve">  In 2009 the HSE B</w:t>
      </w:r>
      <w:r w:rsidR="00741FE8">
        <w:rPr>
          <w:rFonts w:asciiTheme="majorHAnsi" w:hAnsiTheme="majorHAnsi"/>
        </w:rPr>
        <w:t>udget was under</w:t>
      </w:r>
      <w:r w:rsidRPr="0011374B">
        <w:rPr>
          <w:rFonts w:asciiTheme="majorHAnsi" w:hAnsiTheme="majorHAnsi"/>
        </w:rPr>
        <w:t>funded by €540m requiring a €2</w:t>
      </w:r>
      <w:r w:rsidR="00EB79B9">
        <w:rPr>
          <w:rFonts w:asciiTheme="majorHAnsi" w:hAnsiTheme="majorHAnsi"/>
        </w:rPr>
        <w:t>6</w:t>
      </w:r>
      <w:r w:rsidRPr="0011374B">
        <w:rPr>
          <w:rFonts w:asciiTheme="majorHAnsi" w:hAnsiTheme="majorHAnsi"/>
        </w:rPr>
        <w:t xml:space="preserve">0m supplementary budget in April 2009 and </w:t>
      </w:r>
      <w:r w:rsidR="00141613">
        <w:rPr>
          <w:rFonts w:asciiTheme="majorHAnsi" w:hAnsiTheme="majorHAnsi"/>
        </w:rPr>
        <w:t xml:space="preserve">additional </w:t>
      </w:r>
      <w:r w:rsidRPr="0011374B">
        <w:rPr>
          <w:rFonts w:asciiTheme="majorHAnsi" w:hAnsiTheme="majorHAnsi"/>
        </w:rPr>
        <w:t xml:space="preserve">cuts totaling €280m.  </w:t>
      </w:r>
    </w:p>
    <w:p w:rsidR="00141613" w:rsidRDefault="00141613" w:rsidP="00141613">
      <w:pPr>
        <w:pStyle w:val="ListParagraph"/>
        <w:rPr>
          <w:rFonts w:asciiTheme="majorHAnsi" w:hAnsiTheme="majorHAnsi"/>
        </w:rPr>
      </w:pPr>
    </w:p>
    <w:p w:rsidR="00061416" w:rsidRPr="00115852" w:rsidRDefault="00115852" w:rsidP="00115852">
      <w:pPr>
        <w:spacing w:after="0" w:line="240" w:lineRule="auto"/>
        <w:ind w:firstLine="720"/>
        <w:rPr>
          <w:rFonts w:asciiTheme="majorHAnsi" w:hAnsiTheme="majorHAnsi"/>
          <w:b/>
          <w:sz w:val="28"/>
          <w:szCs w:val="28"/>
        </w:rPr>
      </w:pPr>
      <w:r w:rsidRPr="00115852">
        <w:rPr>
          <w:rFonts w:asciiTheme="majorHAnsi" w:hAnsiTheme="majorHAnsi"/>
          <w:b/>
          <w:sz w:val="28"/>
          <w:szCs w:val="28"/>
        </w:rPr>
        <w:t>2010 Over Budget Position</w:t>
      </w:r>
    </w:p>
    <w:p w:rsidR="00581F3E" w:rsidRDefault="00F14C72" w:rsidP="00514643">
      <w:pPr>
        <w:numPr>
          <w:ilvl w:val="0"/>
          <w:numId w:val="4"/>
        </w:numPr>
        <w:spacing w:after="0" w:line="240" w:lineRule="auto"/>
        <w:rPr>
          <w:rFonts w:asciiTheme="majorHAnsi" w:hAnsiTheme="majorHAnsi"/>
        </w:rPr>
      </w:pPr>
      <w:r>
        <w:rPr>
          <w:rFonts w:asciiTheme="majorHAnsi" w:hAnsiTheme="majorHAnsi"/>
        </w:rPr>
        <w:t>The HSE July</w:t>
      </w:r>
      <w:r w:rsidR="009447C7" w:rsidRPr="0011374B">
        <w:rPr>
          <w:rFonts w:asciiTheme="majorHAnsi" w:hAnsiTheme="majorHAnsi"/>
        </w:rPr>
        <w:t xml:space="preserve"> 2010 Performance Report dated </w:t>
      </w:r>
      <w:r>
        <w:rPr>
          <w:rFonts w:asciiTheme="majorHAnsi" w:hAnsiTheme="majorHAnsi"/>
        </w:rPr>
        <w:t>September</w:t>
      </w:r>
      <w:r w:rsidR="009447C7" w:rsidRPr="0011374B">
        <w:rPr>
          <w:rFonts w:asciiTheme="majorHAnsi" w:hAnsiTheme="majorHAnsi"/>
        </w:rPr>
        <w:t xml:space="preserve"> </w:t>
      </w:r>
      <w:r>
        <w:rPr>
          <w:rFonts w:asciiTheme="majorHAnsi" w:hAnsiTheme="majorHAnsi"/>
        </w:rPr>
        <w:t>9</w:t>
      </w:r>
      <w:r w:rsidR="009447C7" w:rsidRPr="0011374B">
        <w:rPr>
          <w:rFonts w:asciiTheme="majorHAnsi" w:hAnsiTheme="majorHAnsi"/>
          <w:vertAlign w:val="superscript"/>
        </w:rPr>
        <w:t>th</w:t>
      </w:r>
      <w:r w:rsidR="009447C7" w:rsidRPr="0011374B">
        <w:rPr>
          <w:rFonts w:asciiTheme="majorHAnsi" w:hAnsiTheme="majorHAnsi"/>
        </w:rPr>
        <w:t>, 2010 confirmed the following negative effects of the 2010 Budget underfunding:</w:t>
      </w:r>
    </w:p>
    <w:p w:rsidR="00061416" w:rsidRPr="0011374B" w:rsidRDefault="00061416" w:rsidP="00061416">
      <w:pPr>
        <w:spacing w:after="0" w:line="240" w:lineRule="auto"/>
        <w:rPr>
          <w:rFonts w:asciiTheme="majorHAnsi" w:hAnsiTheme="majorHAnsi"/>
        </w:rPr>
      </w:pPr>
    </w:p>
    <w:p w:rsidR="009447C7" w:rsidRDefault="009447C7" w:rsidP="009447C7">
      <w:pPr>
        <w:numPr>
          <w:ilvl w:val="0"/>
          <w:numId w:val="6"/>
        </w:numPr>
        <w:spacing w:after="0" w:line="240" w:lineRule="auto"/>
        <w:rPr>
          <w:rFonts w:asciiTheme="majorHAnsi" w:hAnsiTheme="majorHAnsi"/>
        </w:rPr>
      </w:pPr>
      <w:r w:rsidRPr="0011374B">
        <w:rPr>
          <w:rFonts w:asciiTheme="majorHAnsi" w:hAnsiTheme="majorHAnsi"/>
        </w:rPr>
        <w:t xml:space="preserve">In </w:t>
      </w:r>
      <w:r w:rsidR="00F14C72">
        <w:rPr>
          <w:rFonts w:asciiTheme="majorHAnsi" w:hAnsiTheme="majorHAnsi"/>
        </w:rPr>
        <w:t>July, the HSE expenditure was €35</w:t>
      </w:r>
      <w:r w:rsidR="0011374B">
        <w:rPr>
          <w:rFonts w:asciiTheme="majorHAnsi" w:hAnsiTheme="majorHAnsi"/>
        </w:rPr>
        <w:t>m</w:t>
      </w:r>
      <w:r w:rsidRPr="0011374B">
        <w:rPr>
          <w:rFonts w:asciiTheme="majorHAnsi" w:hAnsiTheme="majorHAnsi"/>
        </w:rPr>
        <w:t xml:space="preserve"> (</w:t>
      </w:r>
      <w:r w:rsidR="00F14C72">
        <w:rPr>
          <w:rFonts w:asciiTheme="majorHAnsi" w:hAnsiTheme="majorHAnsi"/>
        </w:rPr>
        <w:t>0.5</w:t>
      </w:r>
      <w:r w:rsidRPr="0011374B">
        <w:rPr>
          <w:rFonts w:asciiTheme="majorHAnsi" w:hAnsiTheme="majorHAnsi"/>
        </w:rPr>
        <w:t>%) over b</w:t>
      </w:r>
      <w:r w:rsidR="00EB79B9">
        <w:rPr>
          <w:rFonts w:asciiTheme="majorHAnsi" w:hAnsiTheme="majorHAnsi"/>
        </w:rPr>
        <w:t xml:space="preserve">udget, equivalent to </w:t>
      </w:r>
      <w:r w:rsidR="00E371C7">
        <w:rPr>
          <w:rFonts w:asciiTheme="majorHAnsi" w:hAnsiTheme="majorHAnsi"/>
        </w:rPr>
        <w:t xml:space="preserve">a </w:t>
      </w:r>
      <w:r w:rsidR="00EB79B9">
        <w:rPr>
          <w:rFonts w:asciiTheme="majorHAnsi" w:hAnsiTheme="majorHAnsi"/>
        </w:rPr>
        <w:t>€</w:t>
      </w:r>
      <w:r w:rsidR="00F14C72">
        <w:rPr>
          <w:rFonts w:asciiTheme="majorHAnsi" w:hAnsiTheme="majorHAnsi"/>
        </w:rPr>
        <w:t>6</w:t>
      </w:r>
      <w:r w:rsidR="00EB79B9">
        <w:rPr>
          <w:rFonts w:asciiTheme="majorHAnsi" w:hAnsiTheme="majorHAnsi"/>
        </w:rPr>
        <w:t>0m over</w:t>
      </w:r>
      <w:r w:rsidRPr="0011374B">
        <w:rPr>
          <w:rFonts w:asciiTheme="majorHAnsi" w:hAnsiTheme="majorHAnsi"/>
        </w:rPr>
        <w:t xml:space="preserve">run if </w:t>
      </w:r>
      <w:r w:rsidR="00EB79B9">
        <w:rPr>
          <w:rFonts w:asciiTheme="majorHAnsi" w:hAnsiTheme="majorHAnsi"/>
        </w:rPr>
        <w:t xml:space="preserve">service levels and </w:t>
      </w:r>
      <w:r w:rsidRPr="0011374B">
        <w:rPr>
          <w:rFonts w:asciiTheme="majorHAnsi" w:hAnsiTheme="majorHAnsi"/>
        </w:rPr>
        <w:t>spending continue at that level for the full year.</w:t>
      </w:r>
    </w:p>
    <w:p w:rsidR="00061416" w:rsidRPr="0011374B" w:rsidRDefault="00061416" w:rsidP="00061416">
      <w:pPr>
        <w:spacing w:after="0" w:line="240" w:lineRule="auto"/>
        <w:ind w:left="1800"/>
        <w:rPr>
          <w:rFonts w:asciiTheme="majorHAnsi" w:hAnsiTheme="majorHAnsi"/>
        </w:rPr>
      </w:pPr>
    </w:p>
    <w:p w:rsidR="009447C7" w:rsidRDefault="00FD63FF" w:rsidP="009447C7">
      <w:pPr>
        <w:numPr>
          <w:ilvl w:val="0"/>
          <w:numId w:val="6"/>
        </w:numPr>
        <w:spacing w:after="0" w:line="240" w:lineRule="auto"/>
        <w:rPr>
          <w:rFonts w:asciiTheme="majorHAnsi" w:hAnsiTheme="majorHAnsi"/>
        </w:rPr>
      </w:pPr>
      <w:r>
        <w:rPr>
          <w:rFonts w:asciiTheme="majorHAnsi" w:hAnsiTheme="majorHAnsi"/>
        </w:rPr>
        <w:t>The</w:t>
      </w:r>
      <w:r w:rsidR="009447C7" w:rsidRPr="0011374B">
        <w:rPr>
          <w:rFonts w:asciiTheme="majorHAnsi" w:hAnsiTheme="majorHAnsi"/>
        </w:rPr>
        <w:t xml:space="preserve"> HSE </w:t>
      </w:r>
      <w:r w:rsidR="0011374B">
        <w:rPr>
          <w:rFonts w:asciiTheme="majorHAnsi" w:hAnsiTheme="majorHAnsi"/>
        </w:rPr>
        <w:t>R</w:t>
      </w:r>
      <w:r w:rsidR="009447C7" w:rsidRPr="0011374B">
        <w:rPr>
          <w:rFonts w:asciiTheme="majorHAnsi" w:hAnsiTheme="majorHAnsi"/>
        </w:rPr>
        <w:t xml:space="preserve">egional </w:t>
      </w:r>
      <w:r w:rsidR="0011374B">
        <w:rPr>
          <w:rFonts w:asciiTheme="majorHAnsi" w:hAnsiTheme="majorHAnsi"/>
        </w:rPr>
        <w:t>B</w:t>
      </w:r>
      <w:r w:rsidR="009447C7" w:rsidRPr="0011374B">
        <w:rPr>
          <w:rFonts w:asciiTheme="majorHAnsi" w:hAnsiTheme="majorHAnsi"/>
        </w:rPr>
        <w:t>udgets, which fund the inte</w:t>
      </w:r>
      <w:r w:rsidR="00F72135" w:rsidRPr="0011374B">
        <w:rPr>
          <w:rFonts w:asciiTheme="majorHAnsi" w:hAnsiTheme="majorHAnsi"/>
        </w:rPr>
        <w:t>g</w:t>
      </w:r>
      <w:r w:rsidR="009447C7" w:rsidRPr="0011374B">
        <w:rPr>
          <w:rFonts w:asciiTheme="majorHAnsi" w:hAnsiTheme="majorHAnsi"/>
        </w:rPr>
        <w:t xml:space="preserve">rated </w:t>
      </w:r>
      <w:r w:rsidR="006020BC">
        <w:rPr>
          <w:rFonts w:asciiTheme="majorHAnsi" w:hAnsiTheme="majorHAnsi"/>
        </w:rPr>
        <w:t>a</w:t>
      </w:r>
      <w:r w:rsidR="009447C7" w:rsidRPr="0011374B">
        <w:rPr>
          <w:rFonts w:asciiTheme="majorHAnsi" w:hAnsiTheme="majorHAnsi"/>
        </w:rPr>
        <w:t xml:space="preserve">cute </w:t>
      </w:r>
      <w:r w:rsidR="006020BC">
        <w:rPr>
          <w:rFonts w:asciiTheme="majorHAnsi" w:hAnsiTheme="majorHAnsi"/>
        </w:rPr>
        <w:t>h</w:t>
      </w:r>
      <w:r w:rsidR="009447C7" w:rsidRPr="0011374B">
        <w:rPr>
          <w:rFonts w:asciiTheme="majorHAnsi" w:hAnsiTheme="majorHAnsi"/>
        </w:rPr>
        <w:t xml:space="preserve">ospital and </w:t>
      </w:r>
      <w:r w:rsidR="006020BC">
        <w:rPr>
          <w:rFonts w:asciiTheme="majorHAnsi" w:hAnsiTheme="majorHAnsi"/>
        </w:rPr>
        <w:t>p</w:t>
      </w:r>
      <w:r w:rsidR="009447C7" w:rsidRPr="0011374B">
        <w:rPr>
          <w:rFonts w:asciiTheme="majorHAnsi" w:hAnsiTheme="majorHAnsi"/>
        </w:rPr>
        <w:t xml:space="preserve">rimary and </w:t>
      </w:r>
      <w:r w:rsidR="006020BC">
        <w:rPr>
          <w:rFonts w:asciiTheme="majorHAnsi" w:hAnsiTheme="majorHAnsi"/>
        </w:rPr>
        <w:t>c</w:t>
      </w:r>
      <w:r w:rsidR="009447C7" w:rsidRPr="0011374B">
        <w:rPr>
          <w:rFonts w:asciiTheme="majorHAnsi" w:hAnsiTheme="majorHAnsi"/>
        </w:rPr>
        <w:t xml:space="preserve">ommunity </w:t>
      </w:r>
      <w:r w:rsidR="006020BC">
        <w:rPr>
          <w:rFonts w:asciiTheme="majorHAnsi" w:hAnsiTheme="majorHAnsi"/>
        </w:rPr>
        <w:t>s</w:t>
      </w:r>
      <w:r w:rsidR="009447C7" w:rsidRPr="0011374B">
        <w:rPr>
          <w:rFonts w:asciiTheme="majorHAnsi" w:hAnsiTheme="majorHAnsi"/>
        </w:rPr>
        <w:t>ervices</w:t>
      </w:r>
      <w:r>
        <w:rPr>
          <w:rFonts w:asciiTheme="majorHAnsi" w:hAnsiTheme="majorHAnsi"/>
        </w:rPr>
        <w:t>,</w:t>
      </w:r>
      <w:r w:rsidR="009447C7" w:rsidRPr="0011374B">
        <w:rPr>
          <w:rFonts w:asciiTheme="majorHAnsi" w:hAnsiTheme="majorHAnsi"/>
        </w:rPr>
        <w:t xml:space="preserve"> were collectively €1</w:t>
      </w:r>
      <w:r w:rsidR="00F14C72">
        <w:rPr>
          <w:rFonts w:asciiTheme="majorHAnsi" w:hAnsiTheme="majorHAnsi"/>
        </w:rPr>
        <w:t>40m over budget in July</w:t>
      </w:r>
      <w:r w:rsidR="009447C7" w:rsidRPr="0011374B">
        <w:rPr>
          <w:rFonts w:asciiTheme="majorHAnsi" w:hAnsiTheme="majorHAnsi"/>
        </w:rPr>
        <w:t xml:space="preserve">, equivalent to </w:t>
      </w:r>
      <w:r w:rsidR="009F15FB">
        <w:rPr>
          <w:rFonts w:asciiTheme="majorHAnsi" w:hAnsiTheme="majorHAnsi"/>
        </w:rPr>
        <w:t xml:space="preserve">underfunding </w:t>
      </w:r>
      <w:r w:rsidR="00F72135" w:rsidRPr="0011374B">
        <w:rPr>
          <w:rFonts w:asciiTheme="majorHAnsi" w:hAnsiTheme="majorHAnsi"/>
        </w:rPr>
        <w:t>of €</w:t>
      </w:r>
      <w:r w:rsidR="00F14C72">
        <w:rPr>
          <w:rFonts w:asciiTheme="majorHAnsi" w:hAnsiTheme="majorHAnsi"/>
        </w:rPr>
        <w:t>241</w:t>
      </w:r>
      <w:r w:rsidR="00F72135" w:rsidRPr="0011374B">
        <w:rPr>
          <w:rFonts w:asciiTheme="majorHAnsi" w:hAnsiTheme="majorHAnsi"/>
        </w:rPr>
        <w:t>m (</w:t>
      </w:r>
      <w:r w:rsidR="00F14C72">
        <w:rPr>
          <w:rFonts w:asciiTheme="majorHAnsi" w:hAnsiTheme="majorHAnsi"/>
        </w:rPr>
        <w:t>2.7</w:t>
      </w:r>
      <w:r w:rsidR="009447C7" w:rsidRPr="0011374B">
        <w:rPr>
          <w:rFonts w:asciiTheme="majorHAnsi" w:hAnsiTheme="majorHAnsi"/>
        </w:rPr>
        <w:t>%</w:t>
      </w:r>
      <w:r>
        <w:rPr>
          <w:rFonts w:asciiTheme="majorHAnsi" w:hAnsiTheme="majorHAnsi"/>
        </w:rPr>
        <w:t>)</w:t>
      </w:r>
      <w:r w:rsidR="009F15FB">
        <w:rPr>
          <w:rFonts w:asciiTheme="majorHAnsi" w:hAnsiTheme="majorHAnsi"/>
        </w:rPr>
        <w:t xml:space="preserve"> on a full year basis</w:t>
      </w:r>
      <w:r w:rsidR="009447C7" w:rsidRPr="0011374B">
        <w:rPr>
          <w:rFonts w:asciiTheme="majorHAnsi" w:hAnsiTheme="majorHAnsi"/>
        </w:rPr>
        <w:t>.</w:t>
      </w:r>
    </w:p>
    <w:p w:rsidR="00061416" w:rsidRPr="0011374B" w:rsidRDefault="00061416" w:rsidP="00061416">
      <w:pPr>
        <w:spacing w:after="0" w:line="240" w:lineRule="auto"/>
        <w:rPr>
          <w:rFonts w:asciiTheme="majorHAnsi" w:hAnsiTheme="majorHAnsi"/>
        </w:rPr>
      </w:pPr>
    </w:p>
    <w:p w:rsidR="00FD63FF" w:rsidRDefault="00172AC8" w:rsidP="009447C7">
      <w:pPr>
        <w:numPr>
          <w:ilvl w:val="0"/>
          <w:numId w:val="6"/>
        </w:numPr>
        <w:spacing w:after="0" w:line="240" w:lineRule="auto"/>
        <w:rPr>
          <w:rFonts w:asciiTheme="majorHAnsi" w:hAnsiTheme="majorHAnsi"/>
        </w:rPr>
      </w:pPr>
      <w:r>
        <w:rPr>
          <w:rFonts w:asciiTheme="majorHAnsi" w:hAnsiTheme="majorHAnsi"/>
        </w:rPr>
        <w:t xml:space="preserve">The overspend per region </w:t>
      </w:r>
      <w:r w:rsidR="00F72135" w:rsidRPr="0011374B">
        <w:rPr>
          <w:rFonts w:asciiTheme="majorHAnsi" w:hAnsiTheme="majorHAnsi"/>
        </w:rPr>
        <w:t>is</w:t>
      </w:r>
      <w:r>
        <w:rPr>
          <w:rFonts w:asciiTheme="majorHAnsi" w:hAnsiTheme="majorHAnsi"/>
        </w:rPr>
        <w:t xml:space="preserve"> the </w:t>
      </w:r>
      <w:r w:rsidR="00F72135" w:rsidRPr="0011374B">
        <w:rPr>
          <w:rFonts w:asciiTheme="majorHAnsi" w:hAnsiTheme="majorHAnsi"/>
        </w:rPr>
        <w:t>highest in the West (</w:t>
      </w:r>
      <w:r w:rsidR="00F14C72">
        <w:rPr>
          <w:rFonts w:asciiTheme="majorHAnsi" w:hAnsiTheme="majorHAnsi"/>
        </w:rPr>
        <w:t>3.7</w:t>
      </w:r>
      <w:r w:rsidR="00F72135" w:rsidRPr="0011374B">
        <w:rPr>
          <w:rFonts w:asciiTheme="majorHAnsi" w:hAnsiTheme="majorHAnsi"/>
        </w:rPr>
        <w:t xml:space="preserve">%) </w:t>
      </w:r>
      <w:r w:rsidR="00711D9A">
        <w:rPr>
          <w:rFonts w:asciiTheme="majorHAnsi" w:hAnsiTheme="majorHAnsi"/>
        </w:rPr>
        <w:t>and</w:t>
      </w:r>
      <w:r w:rsidR="00F72135" w:rsidRPr="0011374B">
        <w:rPr>
          <w:rFonts w:asciiTheme="majorHAnsi" w:hAnsiTheme="majorHAnsi"/>
        </w:rPr>
        <w:t xml:space="preserve"> Dublin North-East (</w:t>
      </w:r>
      <w:r w:rsidR="00F14C72">
        <w:rPr>
          <w:rFonts w:asciiTheme="majorHAnsi" w:hAnsiTheme="majorHAnsi"/>
        </w:rPr>
        <w:t>3.7</w:t>
      </w:r>
      <w:r w:rsidR="00F72135" w:rsidRPr="0011374B">
        <w:rPr>
          <w:rFonts w:asciiTheme="majorHAnsi" w:hAnsiTheme="majorHAnsi"/>
        </w:rPr>
        <w:t xml:space="preserve">%), </w:t>
      </w:r>
      <w:r w:rsidR="00711D9A">
        <w:rPr>
          <w:rFonts w:asciiTheme="majorHAnsi" w:hAnsiTheme="majorHAnsi"/>
        </w:rPr>
        <w:t>followed by</w:t>
      </w:r>
      <w:r w:rsidR="00FC6542">
        <w:rPr>
          <w:rFonts w:asciiTheme="majorHAnsi" w:hAnsiTheme="majorHAnsi"/>
        </w:rPr>
        <w:t xml:space="preserve"> the</w:t>
      </w:r>
      <w:r w:rsidR="00711D9A">
        <w:rPr>
          <w:rFonts w:asciiTheme="majorHAnsi" w:hAnsiTheme="majorHAnsi"/>
        </w:rPr>
        <w:t xml:space="preserve"> </w:t>
      </w:r>
      <w:r w:rsidR="00F72135" w:rsidRPr="0011374B">
        <w:rPr>
          <w:rFonts w:asciiTheme="majorHAnsi" w:hAnsiTheme="majorHAnsi"/>
        </w:rPr>
        <w:t>South (</w:t>
      </w:r>
      <w:r w:rsidR="00F14C72">
        <w:rPr>
          <w:rFonts w:asciiTheme="majorHAnsi" w:hAnsiTheme="majorHAnsi"/>
        </w:rPr>
        <w:t>1</w:t>
      </w:r>
      <w:r w:rsidR="00711D9A">
        <w:rPr>
          <w:rFonts w:asciiTheme="majorHAnsi" w:hAnsiTheme="majorHAnsi"/>
        </w:rPr>
        <w:t>.9</w:t>
      </w:r>
      <w:r w:rsidR="00F72135" w:rsidRPr="0011374B">
        <w:rPr>
          <w:rFonts w:asciiTheme="majorHAnsi" w:hAnsiTheme="majorHAnsi"/>
        </w:rPr>
        <w:t>%) and Dublin Mid-Leinster (</w:t>
      </w:r>
      <w:r w:rsidR="00EB79B9">
        <w:rPr>
          <w:rFonts w:asciiTheme="majorHAnsi" w:hAnsiTheme="majorHAnsi"/>
        </w:rPr>
        <w:t xml:space="preserve">1.9%) </w:t>
      </w:r>
    </w:p>
    <w:p w:rsidR="00061416" w:rsidRDefault="00061416" w:rsidP="00061416">
      <w:pPr>
        <w:spacing w:after="0" w:line="240" w:lineRule="auto"/>
        <w:rPr>
          <w:rFonts w:asciiTheme="majorHAnsi" w:hAnsiTheme="majorHAnsi"/>
        </w:rPr>
      </w:pPr>
    </w:p>
    <w:p w:rsidR="00115852" w:rsidRPr="00115852" w:rsidRDefault="00EB79B9" w:rsidP="009447C7">
      <w:pPr>
        <w:numPr>
          <w:ilvl w:val="0"/>
          <w:numId w:val="6"/>
        </w:numPr>
        <w:spacing w:after="0" w:line="240" w:lineRule="auto"/>
        <w:rPr>
          <w:rFonts w:asciiTheme="majorHAnsi" w:hAnsiTheme="majorHAnsi"/>
        </w:rPr>
      </w:pPr>
      <w:r w:rsidRPr="00115852">
        <w:rPr>
          <w:rFonts w:asciiTheme="majorHAnsi" w:hAnsiTheme="majorHAnsi"/>
          <w:b/>
        </w:rPr>
        <w:t xml:space="preserve">Acute </w:t>
      </w:r>
      <w:r w:rsidR="006020BC" w:rsidRPr="00115852">
        <w:rPr>
          <w:rFonts w:asciiTheme="majorHAnsi" w:hAnsiTheme="majorHAnsi"/>
          <w:b/>
        </w:rPr>
        <w:t>h</w:t>
      </w:r>
      <w:r w:rsidR="00F72135" w:rsidRPr="00115852">
        <w:rPr>
          <w:rFonts w:asciiTheme="majorHAnsi" w:hAnsiTheme="majorHAnsi"/>
          <w:b/>
        </w:rPr>
        <w:t xml:space="preserve">ospital funding has proven to be most underfunded </w:t>
      </w:r>
      <w:r w:rsidR="00141613">
        <w:rPr>
          <w:rFonts w:asciiTheme="majorHAnsi" w:hAnsiTheme="majorHAnsi"/>
          <w:b/>
        </w:rPr>
        <w:t xml:space="preserve">with </w:t>
      </w:r>
      <w:r w:rsidR="00F72135" w:rsidRPr="00115852">
        <w:rPr>
          <w:rFonts w:asciiTheme="majorHAnsi" w:hAnsiTheme="majorHAnsi"/>
          <w:b/>
        </w:rPr>
        <w:t xml:space="preserve">a </w:t>
      </w:r>
      <w:r w:rsidR="00F14C72" w:rsidRPr="00115852">
        <w:rPr>
          <w:rFonts w:asciiTheme="majorHAnsi" w:hAnsiTheme="majorHAnsi"/>
          <w:b/>
        </w:rPr>
        <w:t>4.8</w:t>
      </w:r>
      <w:r w:rsidR="00F72135" w:rsidRPr="00115852">
        <w:rPr>
          <w:rFonts w:asciiTheme="majorHAnsi" w:hAnsiTheme="majorHAnsi"/>
          <w:b/>
        </w:rPr>
        <w:t>% overspend of €11</w:t>
      </w:r>
      <w:r w:rsidR="00F14C72" w:rsidRPr="00115852">
        <w:rPr>
          <w:rFonts w:asciiTheme="majorHAnsi" w:hAnsiTheme="majorHAnsi"/>
          <w:b/>
        </w:rPr>
        <w:t>0</w:t>
      </w:r>
      <w:r w:rsidR="00F72135" w:rsidRPr="00115852">
        <w:rPr>
          <w:rFonts w:asciiTheme="majorHAnsi" w:hAnsiTheme="majorHAnsi"/>
          <w:b/>
        </w:rPr>
        <w:t xml:space="preserve">m in the first </w:t>
      </w:r>
      <w:r w:rsidR="00711D9A" w:rsidRPr="00115852">
        <w:rPr>
          <w:rFonts w:asciiTheme="majorHAnsi" w:hAnsiTheme="majorHAnsi"/>
          <w:b/>
        </w:rPr>
        <w:t>seven</w:t>
      </w:r>
      <w:r w:rsidR="00F72135" w:rsidRPr="00115852">
        <w:rPr>
          <w:rFonts w:asciiTheme="majorHAnsi" w:hAnsiTheme="majorHAnsi"/>
          <w:b/>
        </w:rPr>
        <w:t xml:space="preserve"> months of the year.</w:t>
      </w:r>
      <w:r w:rsidR="00F72135" w:rsidRPr="0011374B">
        <w:rPr>
          <w:rFonts w:asciiTheme="majorHAnsi" w:hAnsiTheme="majorHAnsi"/>
        </w:rPr>
        <w:t xml:space="preserve">  </w:t>
      </w:r>
      <w:r w:rsidR="00141613">
        <w:rPr>
          <w:rFonts w:asciiTheme="majorHAnsi" w:hAnsiTheme="majorHAnsi"/>
          <w:b/>
        </w:rPr>
        <w:t xml:space="preserve">This </w:t>
      </w:r>
      <w:r w:rsidR="00F72135" w:rsidRPr="00115852">
        <w:rPr>
          <w:rFonts w:asciiTheme="majorHAnsi" w:hAnsiTheme="majorHAnsi"/>
          <w:b/>
        </w:rPr>
        <w:t>overspend is equivalent to €</w:t>
      </w:r>
      <w:r w:rsidR="00F14C72" w:rsidRPr="00115852">
        <w:rPr>
          <w:rFonts w:asciiTheme="majorHAnsi" w:hAnsiTheme="majorHAnsi"/>
          <w:b/>
        </w:rPr>
        <w:t>189</w:t>
      </w:r>
      <w:r w:rsidR="00F72135" w:rsidRPr="00115852">
        <w:rPr>
          <w:rFonts w:asciiTheme="majorHAnsi" w:hAnsiTheme="majorHAnsi"/>
          <w:b/>
        </w:rPr>
        <w:t>m</w:t>
      </w:r>
      <w:r w:rsidR="00141613">
        <w:rPr>
          <w:rFonts w:asciiTheme="majorHAnsi" w:hAnsiTheme="majorHAnsi"/>
          <w:b/>
        </w:rPr>
        <w:t xml:space="preserve"> on a full year basis if services are maintained at the level required to meet patient demand</w:t>
      </w:r>
      <w:r w:rsidR="00F72135" w:rsidRPr="00115852">
        <w:rPr>
          <w:rFonts w:asciiTheme="majorHAnsi" w:hAnsiTheme="majorHAnsi"/>
          <w:b/>
        </w:rPr>
        <w:t xml:space="preserve">, further highlighting the extent of underfunding in the critically important </w:t>
      </w:r>
      <w:r w:rsidR="006020BC" w:rsidRPr="00115852">
        <w:rPr>
          <w:rFonts w:asciiTheme="majorHAnsi" w:hAnsiTheme="majorHAnsi"/>
          <w:b/>
        </w:rPr>
        <w:t>a</w:t>
      </w:r>
      <w:r w:rsidR="00172AC8" w:rsidRPr="00115852">
        <w:rPr>
          <w:rFonts w:asciiTheme="majorHAnsi" w:hAnsiTheme="majorHAnsi"/>
          <w:b/>
        </w:rPr>
        <w:t>c</w:t>
      </w:r>
      <w:r w:rsidR="00F72135" w:rsidRPr="00115852">
        <w:rPr>
          <w:rFonts w:asciiTheme="majorHAnsi" w:hAnsiTheme="majorHAnsi"/>
          <w:b/>
        </w:rPr>
        <w:t xml:space="preserve">ute </w:t>
      </w:r>
      <w:r w:rsidR="006020BC" w:rsidRPr="00115852">
        <w:rPr>
          <w:rFonts w:asciiTheme="majorHAnsi" w:hAnsiTheme="majorHAnsi"/>
          <w:b/>
        </w:rPr>
        <w:t>h</w:t>
      </w:r>
      <w:r w:rsidRPr="00115852">
        <w:rPr>
          <w:rFonts w:asciiTheme="majorHAnsi" w:hAnsiTheme="majorHAnsi"/>
          <w:b/>
        </w:rPr>
        <w:t xml:space="preserve">ospital </w:t>
      </w:r>
      <w:r w:rsidR="006020BC" w:rsidRPr="00115852">
        <w:rPr>
          <w:rFonts w:asciiTheme="majorHAnsi" w:hAnsiTheme="majorHAnsi"/>
          <w:b/>
        </w:rPr>
        <w:t>s</w:t>
      </w:r>
      <w:r w:rsidR="00F72135" w:rsidRPr="00115852">
        <w:rPr>
          <w:rFonts w:asciiTheme="majorHAnsi" w:hAnsiTheme="majorHAnsi"/>
          <w:b/>
        </w:rPr>
        <w:t xml:space="preserve">ervices. </w:t>
      </w:r>
    </w:p>
    <w:p w:rsidR="00937590" w:rsidRPr="00937590" w:rsidRDefault="00937590" w:rsidP="00937590">
      <w:pPr>
        <w:spacing w:after="0" w:line="240" w:lineRule="auto"/>
        <w:ind w:left="1800"/>
        <w:rPr>
          <w:rFonts w:asciiTheme="majorHAnsi" w:hAnsiTheme="majorHAnsi"/>
        </w:rPr>
      </w:pPr>
    </w:p>
    <w:p w:rsidR="009447C7" w:rsidRPr="0011374B" w:rsidRDefault="00F72135" w:rsidP="009447C7">
      <w:pPr>
        <w:numPr>
          <w:ilvl w:val="0"/>
          <w:numId w:val="6"/>
        </w:numPr>
        <w:spacing w:after="0" w:line="240" w:lineRule="auto"/>
        <w:rPr>
          <w:rFonts w:asciiTheme="majorHAnsi" w:hAnsiTheme="majorHAnsi"/>
        </w:rPr>
      </w:pPr>
      <w:r w:rsidRPr="00115852">
        <w:rPr>
          <w:rFonts w:asciiTheme="majorHAnsi" w:hAnsiTheme="majorHAnsi"/>
          <w:b/>
        </w:rPr>
        <w:t xml:space="preserve"> </w:t>
      </w:r>
      <w:r w:rsidRPr="0011374B">
        <w:rPr>
          <w:rFonts w:asciiTheme="majorHAnsi" w:hAnsiTheme="majorHAnsi"/>
        </w:rPr>
        <w:t>The</w:t>
      </w:r>
      <w:r w:rsidR="00141613">
        <w:rPr>
          <w:rFonts w:asciiTheme="majorHAnsi" w:hAnsiTheme="majorHAnsi"/>
        </w:rPr>
        <w:t xml:space="preserve"> extent </w:t>
      </w:r>
      <w:r w:rsidR="00661E77">
        <w:rPr>
          <w:rFonts w:asciiTheme="majorHAnsi" w:hAnsiTheme="majorHAnsi"/>
        </w:rPr>
        <w:t xml:space="preserve">and </w:t>
      </w:r>
      <w:r w:rsidR="00141613">
        <w:rPr>
          <w:rFonts w:asciiTheme="majorHAnsi" w:hAnsiTheme="majorHAnsi"/>
        </w:rPr>
        <w:t xml:space="preserve">the </w:t>
      </w:r>
      <w:r w:rsidRPr="0011374B">
        <w:rPr>
          <w:rFonts w:asciiTheme="majorHAnsi" w:hAnsiTheme="majorHAnsi"/>
        </w:rPr>
        <w:t>regional impact of th</w:t>
      </w:r>
      <w:r w:rsidR="00141613">
        <w:rPr>
          <w:rFonts w:asciiTheme="majorHAnsi" w:hAnsiTheme="majorHAnsi"/>
        </w:rPr>
        <w:t>e</w:t>
      </w:r>
      <w:r w:rsidRPr="0011374B">
        <w:rPr>
          <w:rFonts w:asciiTheme="majorHAnsi" w:hAnsiTheme="majorHAnsi"/>
        </w:rPr>
        <w:t xml:space="preserve"> </w:t>
      </w:r>
      <w:r w:rsidR="00661E77">
        <w:rPr>
          <w:rFonts w:asciiTheme="majorHAnsi" w:hAnsiTheme="majorHAnsi"/>
        </w:rPr>
        <w:t xml:space="preserve">acute hospitals </w:t>
      </w:r>
      <w:r w:rsidRPr="0011374B">
        <w:rPr>
          <w:rFonts w:asciiTheme="majorHAnsi" w:hAnsiTheme="majorHAnsi"/>
        </w:rPr>
        <w:t xml:space="preserve">underfunding </w:t>
      </w:r>
      <w:r w:rsidR="00661E77">
        <w:rPr>
          <w:rFonts w:asciiTheme="majorHAnsi" w:hAnsiTheme="majorHAnsi"/>
        </w:rPr>
        <w:t>are</w:t>
      </w:r>
      <w:r w:rsidRPr="0011374B">
        <w:rPr>
          <w:rFonts w:asciiTheme="majorHAnsi" w:hAnsiTheme="majorHAnsi"/>
        </w:rPr>
        <w:t xml:space="preserve"> apparent </w:t>
      </w:r>
      <w:r w:rsidR="00E12423">
        <w:rPr>
          <w:rFonts w:asciiTheme="majorHAnsi" w:hAnsiTheme="majorHAnsi"/>
        </w:rPr>
        <w:t>below</w:t>
      </w:r>
      <w:r w:rsidRPr="0011374B">
        <w:rPr>
          <w:rFonts w:asciiTheme="majorHAnsi" w:hAnsiTheme="majorHAnsi"/>
        </w:rPr>
        <w:t xml:space="preserve">, in particular in the West which </w:t>
      </w:r>
      <w:r w:rsidR="00E12423">
        <w:rPr>
          <w:rFonts w:asciiTheme="majorHAnsi" w:hAnsiTheme="majorHAnsi"/>
        </w:rPr>
        <w:t>i</w:t>
      </w:r>
      <w:r w:rsidRPr="0011374B">
        <w:rPr>
          <w:rFonts w:asciiTheme="majorHAnsi" w:hAnsiTheme="majorHAnsi"/>
        </w:rPr>
        <w:t>s underfund</w:t>
      </w:r>
      <w:r w:rsidR="00172AC8">
        <w:rPr>
          <w:rFonts w:asciiTheme="majorHAnsi" w:hAnsiTheme="majorHAnsi"/>
        </w:rPr>
        <w:t>ed</w:t>
      </w:r>
      <w:r w:rsidRPr="0011374B">
        <w:rPr>
          <w:rFonts w:asciiTheme="majorHAnsi" w:hAnsiTheme="majorHAnsi"/>
        </w:rPr>
        <w:t xml:space="preserve"> to the tune of </w:t>
      </w:r>
      <w:r w:rsidR="00F14C72">
        <w:rPr>
          <w:rFonts w:asciiTheme="majorHAnsi" w:hAnsiTheme="majorHAnsi"/>
        </w:rPr>
        <w:t>9</w:t>
      </w:r>
      <w:r w:rsidRPr="0011374B">
        <w:rPr>
          <w:rFonts w:asciiTheme="majorHAnsi" w:hAnsiTheme="majorHAnsi"/>
        </w:rPr>
        <w:t>.</w:t>
      </w:r>
      <w:r w:rsidR="00F14C72">
        <w:rPr>
          <w:rFonts w:asciiTheme="majorHAnsi" w:hAnsiTheme="majorHAnsi"/>
        </w:rPr>
        <w:t>1 % based on the July</w:t>
      </w:r>
      <w:r w:rsidRPr="0011374B">
        <w:rPr>
          <w:rFonts w:asciiTheme="majorHAnsi" w:hAnsiTheme="majorHAnsi"/>
        </w:rPr>
        <w:t xml:space="preserve"> 2010 figures.</w:t>
      </w:r>
    </w:p>
    <w:p w:rsidR="00581F3E" w:rsidRDefault="00581F3E" w:rsidP="009447C7">
      <w:pPr>
        <w:spacing w:after="0" w:line="240" w:lineRule="auto"/>
        <w:ind w:left="360"/>
        <w:rPr>
          <w:rFonts w:asciiTheme="majorHAnsi" w:hAnsiTheme="majorHAnsi"/>
        </w:rPr>
      </w:pPr>
    </w:p>
    <w:p w:rsidR="00514643" w:rsidRPr="007F3DFE" w:rsidRDefault="00F14C72" w:rsidP="0011374B">
      <w:pPr>
        <w:ind w:left="709"/>
        <w:rPr>
          <w:rFonts w:asciiTheme="majorHAnsi" w:hAnsiTheme="majorHAnsi"/>
          <w:b/>
        </w:rPr>
      </w:pPr>
      <w:r w:rsidRPr="007F3DFE">
        <w:rPr>
          <w:rFonts w:asciiTheme="majorHAnsi" w:hAnsiTheme="majorHAnsi"/>
          <w:b/>
        </w:rPr>
        <w:lastRenderedPageBreak/>
        <w:t>July</w:t>
      </w:r>
      <w:r w:rsidR="00F72135" w:rsidRPr="007F3DFE">
        <w:rPr>
          <w:rFonts w:asciiTheme="majorHAnsi" w:hAnsiTheme="majorHAnsi"/>
          <w:b/>
        </w:rPr>
        <w:t xml:space="preserve"> 2010 Acute Hospital Services Budget by Region</w:t>
      </w:r>
    </w:p>
    <w:tbl>
      <w:tblPr>
        <w:tblW w:w="886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52"/>
        <w:gridCol w:w="2997"/>
      </w:tblGrid>
      <w:tr w:rsidR="00F01DC1" w:rsidRPr="00061416" w:rsidTr="00F01DC1">
        <w:tc>
          <w:tcPr>
            <w:tcW w:w="2918" w:type="dxa"/>
            <w:tcBorders>
              <w:top w:val="single" w:sz="4" w:space="0" w:color="auto"/>
              <w:left w:val="nil"/>
              <w:bottom w:val="single" w:sz="4" w:space="0" w:color="auto"/>
              <w:right w:val="single" w:sz="4" w:space="0" w:color="auto"/>
            </w:tcBorders>
          </w:tcPr>
          <w:p w:rsidR="00EB79B9" w:rsidRPr="00F01DC1" w:rsidRDefault="00EB79B9" w:rsidP="00EB79B9">
            <w:pPr>
              <w:pStyle w:val="NoSpacing"/>
              <w:rPr>
                <w:b/>
                <w:sz w:val="20"/>
                <w:szCs w:val="20"/>
              </w:rPr>
            </w:pPr>
            <w:r w:rsidRPr="00F01DC1">
              <w:rPr>
                <w:b/>
                <w:sz w:val="20"/>
                <w:szCs w:val="20"/>
              </w:rPr>
              <w:t>Region</w:t>
            </w:r>
          </w:p>
        </w:tc>
        <w:tc>
          <w:tcPr>
            <w:tcW w:w="2952" w:type="dxa"/>
            <w:tcBorders>
              <w:top w:val="single" w:sz="4" w:space="0" w:color="auto"/>
              <w:left w:val="single" w:sz="4" w:space="0" w:color="auto"/>
              <w:bottom w:val="single" w:sz="4" w:space="0" w:color="auto"/>
              <w:right w:val="nil"/>
            </w:tcBorders>
          </w:tcPr>
          <w:p w:rsidR="00EB79B9" w:rsidRPr="00F01DC1" w:rsidRDefault="00EB79B9" w:rsidP="00EB79B9">
            <w:pPr>
              <w:pStyle w:val="NoSpacing"/>
              <w:rPr>
                <w:b/>
                <w:sz w:val="20"/>
                <w:szCs w:val="20"/>
              </w:rPr>
            </w:pPr>
            <w:r w:rsidRPr="00F01DC1">
              <w:rPr>
                <w:b/>
                <w:sz w:val="20"/>
                <w:szCs w:val="20"/>
              </w:rPr>
              <w:t xml:space="preserve">Budget </w:t>
            </w:r>
          </w:p>
          <w:p w:rsidR="00EB79B9" w:rsidRPr="00F01DC1" w:rsidRDefault="00EB79B9" w:rsidP="00EB79B9">
            <w:pPr>
              <w:pStyle w:val="NoSpacing"/>
              <w:rPr>
                <w:b/>
                <w:sz w:val="20"/>
                <w:szCs w:val="20"/>
              </w:rPr>
            </w:pPr>
            <w:r w:rsidRPr="00F01DC1">
              <w:rPr>
                <w:b/>
                <w:sz w:val="20"/>
                <w:szCs w:val="20"/>
              </w:rPr>
              <w:t>Overspend</w:t>
            </w:r>
          </w:p>
        </w:tc>
        <w:tc>
          <w:tcPr>
            <w:tcW w:w="2997" w:type="dxa"/>
            <w:tcBorders>
              <w:top w:val="single" w:sz="4" w:space="0" w:color="auto"/>
              <w:left w:val="nil"/>
              <w:bottom w:val="single" w:sz="4" w:space="0" w:color="auto"/>
              <w:right w:val="nil"/>
            </w:tcBorders>
          </w:tcPr>
          <w:p w:rsidR="00EB79B9" w:rsidRPr="00F01DC1" w:rsidRDefault="00EB79B9" w:rsidP="00EB79B9">
            <w:pPr>
              <w:pStyle w:val="NoSpacing"/>
              <w:rPr>
                <w:b/>
                <w:sz w:val="20"/>
                <w:szCs w:val="20"/>
              </w:rPr>
            </w:pPr>
            <w:r w:rsidRPr="00F01DC1">
              <w:rPr>
                <w:b/>
                <w:sz w:val="20"/>
                <w:szCs w:val="20"/>
              </w:rPr>
              <w:t>Over Budget</w:t>
            </w:r>
          </w:p>
          <w:p w:rsidR="00EB79B9" w:rsidRPr="00F01DC1" w:rsidRDefault="00E12423" w:rsidP="00EB79B9">
            <w:pPr>
              <w:pStyle w:val="NoSpacing"/>
              <w:rPr>
                <w:b/>
                <w:sz w:val="20"/>
                <w:szCs w:val="20"/>
              </w:rPr>
            </w:pPr>
            <w:r w:rsidRPr="00F01DC1">
              <w:rPr>
                <w:b/>
                <w:sz w:val="20"/>
                <w:szCs w:val="20"/>
              </w:rPr>
              <w:t>(</w:t>
            </w:r>
            <w:r w:rsidR="00EB79B9" w:rsidRPr="00F01DC1">
              <w:rPr>
                <w:b/>
                <w:sz w:val="20"/>
                <w:szCs w:val="20"/>
              </w:rPr>
              <w:t>Underfunding</w:t>
            </w:r>
            <w:r w:rsidRPr="00F01DC1">
              <w:rPr>
                <w:b/>
                <w:sz w:val="20"/>
                <w:szCs w:val="20"/>
              </w:rPr>
              <w:t>)</w:t>
            </w:r>
          </w:p>
        </w:tc>
      </w:tr>
      <w:tr w:rsidR="00F01DC1" w:rsidRPr="00061416" w:rsidTr="00F01DC1">
        <w:tc>
          <w:tcPr>
            <w:tcW w:w="2918" w:type="dxa"/>
            <w:tcBorders>
              <w:top w:val="single" w:sz="4" w:space="0" w:color="auto"/>
              <w:left w:val="nil"/>
              <w:bottom w:val="nil"/>
              <w:right w:val="single" w:sz="4" w:space="0" w:color="auto"/>
            </w:tcBorders>
          </w:tcPr>
          <w:p w:rsidR="00EB79B9" w:rsidRPr="00F01DC1" w:rsidRDefault="00EB79B9" w:rsidP="0011374B">
            <w:pPr>
              <w:rPr>
                <w:rFonts w:asciiTheme="majorHAnsi" w:hAnsiTheme="majorHAnsi"/>
                <w:sz w:val="20"/>
                <w:szCs w:val="20"/>
              </w:rPr>
            </w:pPr>
            <w:r w:rsidRPr="00F01DC1">
              <w:rPr>
                <w:rFonts w:asciiTheme="majorHAnsi" w:hAnsiTheme="majorHAnsi"/>
                <w:sz w:val="20"/>
                <w:szCs w:val="20"/>
              </w:rPr>
              <w:t>West</w:t>
            </w:r>
          </w:p>
          <w:p w:rsidR="00EB79B9" w:rsidRPr="00F01DC1" w:rsidRDefault="00EB79B9" w:rsidP="0011374B">
            <w:pPr>
              <w:rPr>
                <w:rFonts w:asciiTheme="majorHAnsi" w:hAnsiTheme="majorHAnsi"/>
                <w:sz w:val="20"/>
                <w:szCs w:val="20"/>
              </w:rPr>
            </w:pPr>
            <w:r w:rsidRPr="00F01DC1">
              <w:rPr>
                <w:rFonts w:asciiTheme="majorHAnsi" w:hAnsiTheme="majorHAnsi"/>
                <w:sz w:val="20"/>
                <w:szCs w:val="20"/>
              </w:rPr>
              <w:t>South</w:t>
            </w:r>
          </w:p>
        </w:tc>
        <w:tc>
          <w:tcPr>
            <w:tcW w:w="2952" w:type="dxa"/>
            <w:tcBorders>
              <w:top w:val="single" w:sz="4" w:space="0" w:color="auto"/>
              <w:left w:val="single" w:sz="4" w:space="0" w:color="auto"/>
              <w:bottom w:val="nil"/>
              <w:right w:val="nil"/>
            </w:tcBorders>
          </w:tcPr>
          <w:p w:rsidR="00EB79B9" w:rsidRPr="00F01DC1" w:rsidRDefault="00EB79B9" w:rsidP="0011374B">
            <w:pPr>
              <w:rPr>
                <w:rFonts w:asciiTheme="majorHAnsi" w:hAnsiTheme="majorHAnsi"/>
                <w:sz w:val="20"/>
                <w:szCs w:val="20"/>
              </w:rPr>
            </w:pPr>
            <w:r w:rsidRPr="00F01DC1">
              <w:rPr>
                <w:rFonts w:asciiTheme="majorHAnsi" w:hAnsiTheme="majorHAnsi"/>
                <w:sz w:val="20"/>
                <w:szCs w:val="20"/>
              </w:rPr>
              <w:t>€</w:t>
            </w:r>
            <w:r w:rsidR="00F14C72" w:rsidRPr="00F01DC1">
              <w:rPr>
                <w:rFonts w:asciiTheme="majorHAnsi" w:hAnsiTheme="majorHAnsi"/>
                <w:sz w:val="20"/>
                <w:szCs w:val="20"/>
              </w:rPr>
              <w:t>44.8</w:t>
            </w:r>
            <w:r w:rsidRPr="00F01DC1">
              <w:rPr>
                <w:rFonts w:asciiTheme="majorHAnsi" w:hAnsiTheme="majorHAnsi"/>
                <w:sz w:val="20"/>
                <w:szCs w:val="20"/>
              </w:rPr>
              <w:t>m</w:t>
            </w:r>
          </w:p>
          <w:p w:rsidR="00EB79B9" w:rsidRPr="00F01DC1" w:rsidRDefault="00EB79B9" w:rsidP="0011374B">
            <w:pPr>
              <w:rPr>
                <w:rFonts w:asciiTheme="majorHAnsi" w:hAnsiTheme="majorHAnsi"/>
                <w:sz w:val="20"/>
                <w:szCs w:val="20"/>
              </w:rPr>
            </w:pPr>
            <w:r w:rsidRPr="00F01DC1">
              <w:rPr>
                <w:rFonts w:asciiTheme="majorHAnsi" w:hAnsiTheme="majorHAnsi"/>
                <w:sz w:val="20"/>
                <w:szCs w:val="20"/>
              </w:rPr>
              <w:t>€</w:t>
            </w:r>
            <w:r w:rsidR="00F14C72" w:rsidRPr="00F01DC1">
              <w:rPr>
                <w:rFonts w:asciiTheme="majorHAnsi" w:hAnsiTheme="majorHAnsi"/>
                <w:sz w:val="20"/>
                <w:szCs w:val="20"/>
              </w:rPr>
              <w:t>17.3</w:t>
            </w:r>
            <w:r w:rsidRPr="00F01DC1">
              <w:rPr>
                <w:rFonts w:asciiTheme="majorHAnsi" w:hAnsiTheme="majorHAnsi"/>
                <w:sz w:val="20"/>
                <w:szCs w:val="20"/>
              </w:rPr>
              <w:t>m</w:t>
            </w:r>
          </w:p>
        </w:tc>
        <w:tc>
          <w:tcPr>
            <w:tcW w:w="2997" w:type="dxa"/>
            <w:tcBorders>
              <w:top w:val="single" w:sz="4" w:space="0" w:color="auto"/>
              <w:left w:val="nil"/>
              <w:bottom w:val="nil"/>
              <w:right w:val="nil"/>
            </w:tcBorders>
          </w:tcPr>
          <w:p w:rsidR="00EB79B9" w:rsidRPr="00F01DC1" w:rsidRDefault="00F14C72" w:rsidP="0011374B">
            <w:pPr>
              <w:rPr>
                <w:rFonts w:asciiTheme="majorHAnsi" w:hAnsiTheme="majorHAnsi"/>
                <w:sz w:val="20"/>
                <w:szCs w:val="20"/>
              </w:rPr>
            </w:pPr>
            <w:r w:rsidRPr="00F01DC1">
              <w:rPr>
                <w:rFonts w:asciiTheme="majorHAnsi" w:hAnsiTheme="majorHAnsi"/>
                <w:sz w:val="20"/>
                <w:szCs w:val="20"/>
              </w:rPr>
              <w:t>9.1</w:t>
            </w:r>
            <w:r w:rsidR="00EB79B9" w:rsidRPr="00F01DC1">
              <w:rPr>
                <w:rFonts w:asciiTheme="majorHAnsi" w:hAnsiTheme="majorHAnsi"/>
                <w:sz w:val="20"/>
                <w:szCs w:val="20"/>
              </w:rPr>
              <w:t>%</w:t>
            </w:r>
          </w:p>
          <w:p w:rsidR="00EB79B9" w:rsidRPr="00F01DC1" w:rsidRDefault="00F14C72" w:rsidP="0011374B">
            <w:pPr>
              <w:rPr>
                <w:rFonts w:asciiTheme="majorHAnsi" w:hAnsiTheme="majorHAnsi"/>
                <w:sz w:val="20"/>
                <w:szCs w:val="20"/>
              </w:rPr>
            </w:pPr>
            <w:r w:rsidRPr="00F01DC1">
              <w:rPr>
                <w:rFonts w:asciiTheme="majorHAnsi" w:hAnsiTheme="majorHAnsi"/>
                <w:sz w:val="20"/>
                <w:szCs w:val="20"/>
              </w:rPr>
              <w:t>3.7</w:t>
            </w:r>
            <w:r w:rsidR="00EB79B9" w:rsidRPr="00F01DC1">
              <w:rPr>
                <w:rFonts w:asciiTheme="majorHAnsi" w:hAnsiTheme="majorHAnsi"/>
                <w:sz w:val="20"/>
                <w:szCs w:val="20"/>
              </w:rPr>
              <w:t>%</w:t>
            </w:r>
          </w:p>
        </w:tc>
      </w:tr>
      <w:tr w:rsidR="00F01DC1" w:rsidRPr="00061416" w:rsidTr="00F01DC1">
        <w:tc>
          <w:tcPr>
            <w:tcW w:w="2918" w:type="dxa"/>
            <w:tcBorders>
              <w:top w:val="nil"/>
              <w:left w:val="nil"/>
              <w:bottom w:val="nil"/>
              <w:right w:val="single" w:sz="4" w:space="0" w:color="auto"/>
            </w:tcBorders>
          </w:tcPr>
          <w:p w:rsidR="00EB79B9" w:rsidRPr="00F01DC1" w:rsidRDefault="00EB79B9" w:rsidP="0011374B">
            <w:pPr>
              <w:rPr>
                <w:rFonts w:asciiTheme="majorHAnsi" w:hAnsiTheme="majorHAnsi"/>
                <w:sz w:val="20"/>
                <w:szCs w:val="20"/>
              </w:rPr>
            </w:pPr>
            <w:r w:rsidRPr="00F01DC1">
              <w:rPr>
                <w:rFonts w:asciiTheme="majorHAnsi" w:hAnsiTheme="majorHAnsi"/>
                <w:sz w:val="20"/>
                <w:szCs w:val="20"/>
              </w:rPr>
              <w:t>Dublin North East</w:t>
            </w:r>
          </w:p>
        </w:tc>
        <w:tc>
          <w:tcPr>
            <w:tcW w:w="2952" w:type="dxa"/>
            <w:tcBorders>
              <w:top w:val="nil"/>
              <w:left w:val="single" w:sz="4" w:space="0" w:color="auto"/>
              <w:bottom w:val="nil"/>
              <w:right w:val="nil"/>
            </w:tcBorders>
          </w:tcPr>
          <w:p w:rsidR="00EB79B9" w:rsidRPr="00F01DC1" w:rsidRDefault="00EB79B9" w:rsidP="00F14C72">
            <w:pPr>
              <w:rPr>
                <w:rFonts w:asciiTheme="majorHAnsi" w:hAnsiTheme="majorHAnsi"/>
                <w:sz w:val="20"/>
                <w:szCs w:val="20"/>
              </w:rPr>
            </w:pPr>
            <w:r w:rsidRPr="00F01DC1">
              <w:rPr>
                <w:rFonts w:asciiTheme="majorHAnsi" w:hAnsiTheme="majorHAnsi"/>
                <w:sz w:val="20"/>
                <w:szCs w:val="20"/>
              </w:rPr>
              <w:t>€2</w:t>
            </w:r>
            <w:r w:rsidR="00F14C72" w:rsidRPr="00F01DC1">
              <w:rPr>
                <w:rFonts w:asciiTheme="majorHAnsi" w:hAnsiTheme="majorHAnsi"/>
                <w:sz w:val="20"/>
                <w:szCs w:val="20"/>
              </w:rPr>
              <w:t>8.1</w:t>
            </w:r>
            <w:r w:rsidRPr="00F01DC1">
              <w:rPr>
                <w:rFonts w:asciiTheme="majorHAnsi" w:hAnsiTheme="majorHAnsi"/>
                <w:sz w:val="20"/>
                <w:szCs w:val="20"/>
              </w:rPr>
              <w:t>m</w:t>
            </w:r>
          </w:p>
        </w:tc>
        <w:tc>
          <w:tcPr>
            <w:tcW w:w="2997" w:type="dxa"/>
            <w:tcBorders>
              <w:top w:val="nil"/>
              <w:left w:val="nil"/>
              <w:bottom w:val="nil"/>
              <w:right w:val="nil"/>
            </w:tcBorders>
          </w:tcPr>
          <w:p w:rsidR="00EB79B9" w:rsidRPr="00F01DC1" w:rsidRDefault="00F14C72" w:rsidP="0011374B">
            <w:pPr>
              <w:rPr>
                <w:rFonts w:asciiTheme="majorHAnsi" w:hAnsiTheme="majorHAnsi"/>
                <w:sz w:val="20"/>
                <w:szCs w:val="20"/>
              </w:rPr>
            </w:pPr>
            <w:r w:rsidRPr="00F01DC1">
              <w:rPr>
                <w:rFonts w:asciiTheme="majorHAnsi" w:hAnsiTheme="majorHAnsi"/>
                <w:sz w:val="20"/>
                <w:szCs w:val="20"/>
              </w:rPr>
              <w:t>5.5</w:t>
            </w:r>
            <w:r w:rsidR="00EB79B9" w:rsidRPr="00F01DC1">
              <w:rPr>
                <w:rFonts w:asciiTheme="majorHAnsi" w:hAnsiTheme="majorHAnsi"/>
                <w:sz w:val="20"/>
                <w:szCs w:val="20"/>
              </w:rPr>
              <w:t>%</w:t>
            </w:r>
          </w:p>
        </w:tc>
      </w:tr>
      <w:tr w:rsidR="00F01DC1" w:rsidRPr="00061416" w:rsidTr="00F01DC1">
        <w:tc>
          <w:tcPr>
            <w:tcW w:w="2918" w:type="dxa"/>
            <w:tcBorders>
              <w:top w:val="nil"/>
              <w:left w:val="nil"/>
              <w:bottom w:val="single" w:sz="4" w:space="0" w:color="auto"/>
              <w:right w:val="single" w:sz="4" w:space="0" w:color="auto"/>
            </w:tcBorders>
          </w:tcPr>
          <w:p w:rsidR="00EB79B9" w:rsidRPr="00F01DC1" w:rsidRDefault="00EB79B9" w:rsidP="00EB79B9">
            <w:pPr>
              <w:rPr>
                <w:rFonts w:asciiTheme="majorHAnsi" w:hAnsiTheme="majorHAnsi"/>
                <w:sz w:val="20"/>
                <w:szCs w:val="20"/>
              </w:rPr>
            </w:pPr>
            <w:r w:rsidRPr="00F01DC1">
              <w:rPr>
                <w:rFonts w:asciiTheme="majorHAnsi" w:hAnsiTheme="majorHAnsi"/>
                <w:sz w:val="20"/>
                <w:szCs w:val="20"/>
              </w:rPr>
              <w:t>Dublin Mid Leinster</w:t>
            </w:r>
          </w:p>
        </w:tc>
        <w:tc>
          <w:tcPr>
            <w:tcW w:w="2952" w:type="dxa"/>
            <w:tcBorders>
              <w:top w:val="nil"/>
              <w:left w:val="single" w:sz="4" w:space="0" w:color="auto"/>
              <w:bottom w:val="single" w:sz="4" w:space="0" w:color="auto"/>
              <w:right w:val="nil"/>
            </w:tcBorders>
          </w:tcPr>
          <w:p w:rsidR="00EB79B9" w:rsidRPr="00F01DC1" w:rsidRDefault="00EB79B9" w:rsidP="00F14C72">
            <w:pPr>
              <w:rPr>
                <w:rFonts w:asciiTheme="majorHAnsi" w:hAnsiTheme="majorHAnsi"/>
                <w:sz w:val="20"/>
                <w:szCs w:val="20"/>
              </w:rPr>
            </w:pPr>
            <w:r w:rsidRPr="00F01DC1">
              <w:rPr>
                <w:rFonts w:asciiTheme="majorHAnsi" w:hAnsiTheme="majorHAnsi"/>
                <w:sz w:val="20"/>
                <w:szCs w:val="20"/>
              </w:rPr>
              <w:t>€1</w:t>
            </w:r>
            <w:r w:rsidR="00F14C72" w:rsidRPr="00F01DC1">
              <w:rPr>
                <w:rFonts w:asciiTheme="majorHAnsi" w:hAnsiTheme="majorHAnsi"/>
                <w:sz w:val="20"/>
                <w:szCs w:val="20"/>
              </w:rPr>
              <w:t>9.5</w:t>
            </w:r>
            <w:r w:rsidRPr="00F01DC1">
              <w:rPr>
                <w:rFonts w:asciiTheme="majorHAnsi" w:hAnsiTheme="majorHAnsi"/>
                <w:sz w:val="20"/>
                <w:szCs w:val="20"/>
              </w:rPr>
              <w:t>m</w:t>
            </w:r>
          </w:p>
        </w:tc>
        <w:tc>
          <w:tcPr>
            <w:tcW w:w="2997" w:type="dxa"/>
            <w:tcBorders>
              <w:top w:val="nil"/>
              <w:left w:val="nil"/>
              <w:bottom w:val="single" w:sz="4" w:space="0" w:color="auto"/>
              <w:right w:val="nil"/>
            </w:tcBorders>
          </w:tcPr>
          <w:p w:rsidR="00EB79B9" w:rsidRPr="00F01DC1" w:rsidRDefault="00F14C72" w:rsidP="0011374B">
            <w:pPr>
              <w:rPr>
                <w:rFonts w:asciiTheme="majorHAnsi" w:hAnsiTheme="majorHAnsi"/>
                <w:sz w:val="20"/>
                <w:szCs w:val="20"/>
              </w:rPr>
            </w:pPr>
            <w:r w:rsidRPr="00F01DC1">
              <w:rPr>
                <w:rFonts w:asciiTheme="majorHAnsi" w:hAnsiTheme="majorHAnsi"/>
                <w:sz w:val="20"/>
                <w:szCs w:val="20"/>
              </w:rPr>
              <w:t>2.4</w:t>
            </w:r>
            <w:r w:rsidR="00EB79B9" w:rsidRPr="00F01DC1">
              <w:rPr>
                <w:rFonts w:asciiTheme="majorHAnsi" w:hAnsiTheme="majorHAnsi"/>
                <w:sz w:val="20"/>
                <w:szCs w:val="20"/>
              </w:rPr>
              <w:t>%</w:t>
            </w:r>
          </w:p>
        </w:tc>
      </w:tr>
      <w:tr w:rsidR="00F01DC1" w:rsidRPr="00061416" w:rsidTr="00F01DC1">
        <w:tc>
          <w:tcPr>
            <w:tcW w:w="2918" w:type="dxa"/>
            <w:tcBorders>
              <w:top w:val="single" w:sz="4" w:space="0" w:color="auto"/>
              <w:left w:val="nil"/>
            </w:tcBorders>
          </w:tcPr>
          <w:p w:rsidR="00EB79B9" w:rsidRPr="00F01DC1" w:rsidRDefault="00EB79B9" w:rsidP="0011374B">
            <w:pPr>
              <w:rPr>
                <w:rFonts w:asciiTheme="majorHAnsi" w:hAnsiTheme="majorHAnsi"/>
                <w:b/>
                <w:sz w:val="20"/>
                <w:szCs w:val="20"/>
              </w:rPr>
            </w:pPr>
            <w:r w:rsidRPr="00F01DC1">
              <w:rPr>
                <w:rFonts w:asciiTheme="majorHAnsi" w:hAnsiTheme="majorHAnsi"/>
                <w:b/>
                <w:sz w:val="20"/>
                <w:szCs w:val="20"/>
              </w:rPr>
              <w:t>Total</w:t>
            </w:r>
          </w:p>
        </w:tc>
        <w:tc>
          <w:tcPr>
            <w:tcW w:w="2952" w:type="dxa"/>
            <w:tcBorders>
              <w:top w:val="single" w:sz="4" w:space="0" w:color="auto"/>
              <w:right w:val="nil"/>
            </w:tcBorders>
          </w:tcPr>
          <w:p w:rsidR="00EB79B9" w:rsidRPr="00F01DC1" w:rsidRDefault="00EB79B9" w:rsidP="00F14C72">
            <w:pPr>
              <w:rPr>
                <w:rFonts w:asciiTheme="majorHAnsi" w:hAnsiTheme="majorHAnsi"/>
                <w:b/>
                <w:sz w:val="20"/>
                <w:szCs w:val="20"/>
              </w:rPr>
            </w:pPr>
            <w:r w:rsidRPr="00F01DC1">
              <w:rPr>
                <w:rFonts w:asciiTheme="majorHAnsi" w:hAnsiTheme="majorHAnsi"/>
                <w:sz w:val="20"/>
                <w:szCs w:val="20"/>
              </w:rPr>
              <w:t>€</w:t>
            </w:r>
            <w:r w:rsidRPr="00F01DC1">
              <w:rPr>
                <w:rFonts w:asciiTheme="majorHAnsi" w:hAnsiTheme="majorHAnsi"/>
                <w:b/>
                <w:sz w:val="20"/>
                <w:szCs w:val="20"/>
              </w:rPr>
              <w:t>11</w:t>
            </w:r>
            <w:r w:rsidR="00F14C72" w:rsidRPr="00F01DC1">
              <w:rPr>
                <w:rFonts w:asciiTheme="majorHAnsi" w:hAnsiTheme="majorHAnsi"/>
                <w:b/>
                <w:sz w:val="20"/>
                <w:szCs w:val="20"/>
              </w:rPr>
              <w:t>0</w:t>
            </w:r>
            <w:r w:rsidRPr="00F01DC1">
              <w:rPr>
                <w:rFonts w:asciiTheme="majorHAnsi" w:hAnsiTheme="majorHAnsi"/>
                <w:b/>
                <w:sz w:val="20"/>
                <w:szCs w:val="20"/>
              </w:rPr>
              <w:t>m</w:t>
            </w:r>
          </w:p>
        </w:tc>
        <w:tc>
          <w:tcPr>
            <w:tcW w:w="2997" w:type="dxa"/>
            <w:tcBorders>
              <w:top w:val="single" w:sz="4" w:space="0" w:color="auto"/>
              <w:left w:val="nil"/>
              <w:right w:val="nil"/>
            </w:tcBorders>
          </w:tcPr>
          <w:p w:rsidR="00EB79B9" w:rsidRPr="00F01DC1" w:rsidRDefault="00F14C72" w:rsidP="00F14C72">
            <w:pPr>
              <w:rPr>
                <w:rFonts w:asciiTheme="majorHAnsi" w:hAnsiTheme="majorHAnsi"/>
                <w:b/>
                <w:sz w:val="20"/>
                <w:szCs w:val="20"/>
              </w:rPr>
            </w:pPr>
            <w:r w:rsidRPr="00F01DC1">
              <w:rPr>
                <w:rFonts w:asciiTheme="majorHAnsi" w:hAnsiTheme="majorHAnsi"/>
                <w:b/>
                <w:sz w:val="20"/>
                <w:szCs w:val="20"/>
              </w:rPr>
              <w:t>4.8</w:t>
            </w:r>
            <w:r w:rsidR="00EB79B9" w:rsidRPr="00F01DC1">
              <w:rPr>
                <w:rFonts w:asciiTheme="majorHAnsi" w:hAnsiTheme="majorHAnsi"/>
                <w:sz w:val="20"/>
                <w:szCs w:val="20"/>
              </w:rPr>
              <w:t>%</w:t>
            </w:r>
          </w:p>
        </w:tc>
      </w:tr>
    </w:tbl>
    <w:p w:rsidR="00F72135" w:rsidRPr="00061416" w:rsidRDefault="00141613" w:rsidP="00141613">
      <w:pPr>
        <w:rPr>
          <w:rFonts w:asciiTheme="majorHAnsi" w:hAnsiTheme="majorHAnsi"/>
          <w:b/>
          <w:sz w:val="20"/>
          <w:szCs w:val="20"/>
        </w:rPr>
      </w:pPr>
      <w:r>
        <w:rPr>
          <w:rFonts w:asciiTheme="majorHAnsi" w:hAnsiTheme="majorHAnsi"/>
          <w:b/>
          <w:sz w:val="20"/>
          <w:szCs w:val="20"/>
        </w:rPr>
        <w:tab/>
        <w:t xml:space="preserve">Source: </w:t>
      </w:r>
      <w:r w:rsidRPr="00141613">
        <w:rPr>
          <w:rFonts w:asciiTheme="majorHAnsi" w:hAnsiTheme="majorHAnsi"/>
          <w:sz w:val="20"/>
          <w:szCs w:val="20"/>
        </w:rPr>
        <w:t>HSE July 2010 Perfor</w:t>
      </w:r>
      <w:r w:rsidR="00E5434D">
        <w:rPr>
          <w:rFonts w:asciiTheme="majorHAnsi" w:hAnsiTheme="majorHAnsi"/>
          <w:sz w:val="20"/>
          <w:szCs w:val="20"/>
        </w:rPr>
        <w:t>mance R</w:t>
      </w:r>
      <w:r w:rsidRPr="00141613">
        <w:rPr>
          <w:rFonts w:asciiTheme="majorHAnsi" w:hAnsiTheme="majorHAnsi"/>
          <w:sz w:val="20"/>
          <w:szCs w:val="20"/>
        </w:rPr>
        <w:t>eport</w:t>
      </w:r>
    </w:p>
    <w:p w:rsidR="00514643" w:rsidRDefault="00115852" w:rsidP="00514643">
      <w:pPr>
        <w:numPr>
          <w:ilvl w:val="0"/>
          <w:numId w:val="4"/>
        </w:numPr>
        <w:spacing w:after="0" w:line="240" w:lineRule="auto"/>
        <w:ind w:left="360"/>
        <w:jc w:val="both"/>
      </w:pPr>
      <w:r w:rsidRPr="00661E77">
        <w:rPr>
          <w:b/>
        </w:rPr>
        <w:t xml:space="preserve">The Mental Health Budget </w:t>
      </w:r>
      <w:r w:rsidR="00EB7C91" w:rsidRPr="00661E77">
        <w:rPr>
          <w:b/>
        </w:rPr>
        <w:t>wa</w:t>
      </w:r>
      <w:r w:rsidRPr="00661E77">
        <w:rPr>
          <w:b/>
        </w:rPr>
        <w:t>s reported by the HSE as 1.5% over budget on July 31</w:t>
      </w:r>
      <w:r w:rsidRPr="00661E77">
        <w:rPr>
          <w:b/>
          <w:vertAlign w:val="superscript"/>
        </w:rPr>
        <w:t>st</w:t>
      </w:r>
      <w:r w:rsidRPr="00661E77">
        <w:rPr>
          <w:b/>
        </w:rPr>
        <w:t xml:space="preserve">, equivalent to </w:t>
      </w:r>
      <w:r w:rsidR="00EB7C91" w:rsidRPr="00661E77">
        <w:rPr>
          <w:b/>
        </w:rPr>
        <w:t>underfunding of €10</w:t>
      </w:r>
      <w:r w:rsidR="00141613" w:rsidRPr="00661E77">
        <w:rPr>
          <w:b/>
        </w:rPr>
        <w:t>m</w:t>
      </w:r>
      <w:r w:rsidR="00EB7C91" w:rsidRPr="00661E77">
        <w:rPr>
          <w:b/>
        </w:rPr>
        <w:t xml:space="preserve"> on a full year basis</w:t>
      </w:r>
      <w:r w:rsidR="00EB7C91">
        <w:t>.</w:t>
      </w:r>
    </w:p>
    <w:p w:rsidR="00514643" w:rsidRDefault="00514643" w:rsidP="00514643">
      <w:pPr>
        <w:spacing w:after="0"/>
      </w:pPr>
    </w:p>
    <w:p w:rsidR="00514643" w:rsidRDefault="0011374B" w:rsidP="0011374B">
      <w:pPr>
        <w:numPr>
          <w:ilvl w:val="0"/>
          <w:numId w:val="4"/>
        </w:numPr>
        <w:spacing w:after="0" w:line="240" w:lineRule="auto"/>
        <w:ind w:left="360"/>
        <w:rPr>
          <w:b/>
        </w:rPr>
      </w:pPr>
      <w:r w:rsidRPr="00FD63FF">
        <w:rPr>
          <w:b/>
        </w:rPr>
        <w:t>The combined</w:t>
      </w:r>
      <w:r w:rsidR="00FD63FF">
        <w:rPr>
          <w:b/>
        </w:rPr>
        <w:t xml:space="preserve"> 2010 </w:t>
      </w:r>
      <w:r w:rsidR="00141613">
        <w:rPr>
          <w:b/>
        </w:rPr>
        <w:t>b</w:t>
      </w:r>
      <w:r w:rsidR="00FD63FF">
        <w:rPr>
          <w:b/>
        </w:rPr>
        <w:t xml:space="preserve">udget </w:t>
      </w:r>
      <w:r w:rsidRPr="00FD63FF">
        <w:rPr>
          <w:b/>
        </w:rPr>
        <w:t xml:space="preserve">underfunding for </w:t>
      </w:r>
      <w:r w:rsidR="006020BC">
        <w:rPr>
          <w:b/>
        </w:rPr>
        <w:t>a</w:t>
      </w:r>
      <w:r w:rsidRPr="00FD63FF">
        <w:rPr>
          <w:b/>
        </w:rPr>
        <w:t xml:space="preserve">cute </w:t>
      </w:r>
      <w:r w:rsidR="006020BC">
        <w:rPr>
          <w:b/>
        </w:rPr>
        <w:t>h</w:t>
      </w:r>
      <w:r w:rsidRPr="00FD63FF">
        <w:rPr>
          <w:b/>
        </w:rPr>
        <w:t xml:space="preserve">ospitals and </w:t>
      </w:r>
      <w:r w:rsidR="00D55FC4">
        <w:rPr>
          <w:b/>
        </w:rPr>
        <w:t>mental health</w:t>
      </w:r>
      <w:r w:rsidRPr="00FD63FF">
        <w:rPr>
          <w:b/>
        </w:rPr>
        <w:t xml:space="preserve"> </w:t>
      </w:r>
      <w:r w:rsidR="006020BC">
        <w:rPr>
          <w:b/>
        </w:rPr>
        <w:t>s</w:t>
      </w:r>
      <w:r w:rsidRPr="00FD63FF">
        <w:rPr>
          <w:b/>
        </w:rPr>
        <w:t xml:space="preserve">ervices is </w:t>
      </w:r>
      <w:r w:rsidR="00141613">
        <w:rPr>
          <w:b/>
        </w:rPr>
        <w:t xml:space="preserve">estimated to be around </w:t>
      </w:r>
      <w:r w:rsidRPr="00FD63FF">
        <w:rPr>
          <w:b/>
        </w:rPr>
        <w:t>€</w:t>
      </w:r>
      <w:r w:rsidR="00F14C72">
        <w:rPr>
          <w:b/>
        </w:rPr>
        <w:t>2</w:t>
      </w:r>
      <w:r w:rsidR="00B35C3E">
        <w:rPr>
          <w:b/>
        </w:rPr>
        <w:t>00</w:t>
      </w:r>
      <w:r w:rsidRPr="00FD63FF">
        <w:rPr>
          <w:b/>
        </w:rPr>
        <w:t>m</w:t>
      </w:r>
      <w:r w:rsidR="00141613">
        <w:rPr>
          <w:b/>
        </w:rPr>
        <w:t xml:space="preserve"> on a full year basis</w:t>
      </w:r>
      <w:r w:rsidRPr="00FD63FF">
        <w:rPr>
          <w:b/>
        </w:rPr>
        <w:t xml:space="preserve">, taking account of the outcome on the first </w:t>
      </w:r>
      <w:r w:rsidR="00F14C72">
        <w:rPr>
          <w:b/>
        </w:rPr>
        <w:t>seven</w:t>
      </w:r>
      <w:r w:rsidRPr="00FD63FF">
        <w:rPr>
          <w:b/>
        </w:rPr>
        <w:t xml:space="preserve"> months of 2010.</w:t>
      </w:r>
    </w:p>
    <w:p w:rsidR="00EB7C91" w:rsidRDefault="00EB7C91" w:rsidP="00EB7C91">
      <w:pPr>
        <w:spacing w:after="0"/>
        <w:ind w:left="360"/>
        <w:rPr>
          <w:b/>
          <w:sz w:val="28"/>
          <w:szCs w:val="28"/>
        </w:rPr>
      </w:pPr>
    </w:p>
    <w:p w:rsidR="00514643" w:rsidRPr="00EB7C91" w:rsidRDefault="00EB7C91" w:rsidP="00EB7C91">
      <w:pPr>
        <w:spacing w:after="0"/>
        <w:ind w:left="360"/>
        <w:rPr>
          <w:b/>
          <w:sz w:val="28"/>
          <w:szCs w:val="28"/>
        </w:rPr>
      </w:pPr>
      <w:r w:rsidRPr="00EB7C91">
        <w:rPr>
          <w:b/>
          <w:sz w:val="28"/>
          <w:szCs w:val="28"/>
        </w:rPr>
        <w:t>Increasing Demand for</w:t>
      </w:r>
      <w:r w:rsidR="00141613">
        <w:rPr>
          <w:b/>
          <w:sz w:val="28"/>
          <w:szCs w:val="28"/>
        </w:rPr>
        <w:t xml:space="preserve"> Public</w:t>
      </w:r>
      <w:r w:rsidRPr="00EB7C91">
        <w:rPr>
          <w:b/>
          <w:sz w:val="28"/>
          <w:szCs w:val="28"/>
        </w:rPr>
        <w:t xml:space="preserve"> Health Services</w:t>
      </w:r>
    </w:p>
    <w:p w:rsidR="00EB7C91" w:rsidRDefault="007623DE" w:rsidP="007623DE">
      <w:pPr>
        <w:numPr>
          <w:ilvl w:val="0"/>
          <w:numId w:val="4"/>
        </w:numPr>
        <w:spacing w:after="0" w:line="240" w:lineRule="auto"/>
        <w:ind w:left="360"/>
      </w:pPr>
      <w:r>
        <w:t xml:space="preserve">Demand for </w:t>
      </w:r>
      <w:r w:rsidR="00E371C7">
        <w:t>healthcare</w:t>
      </w:r>
      <w:r>
        <w:t xml:space="preserve"> services, including acute hospital care</w:t>
      </w:r>
      <w:r w:rsidR="00FD63FF">
        <w:t xml:space="preserve"> and mental health services</w:t>
      </w:r>
      <w:r>
        <w:t xml:space="preserve">, has increased steeply in the last decade due to an ageing and increasing population and the projections are that the demand will continue to increase into the </w:t>
      </w:r>
      <w:r w:rsidR="00B35C3E">
        <w:t xml:space="preserve">foreseeable </w:t>
      </w:r>
      <w:r>
        <w:t xml:space="preserve">future. </w:t>
      </w:r>
    </w:p>
    <w:p w:rsidR="00EB7C91" w:rsidRDefault="00EB7C91" w:rsidP="00EB7C91">
      <w:pPr>
        <w:spacing w:after="0" w:line="240" w:lineRule="auto"/>
        <w:ind w:left="360"/>
      </w:pPr>
    </w:p>
    <w:p w:rsidR="007623DE" w:rsidRPr="009F15FB" w:rsidRDefault="00FD63FF" w:rsidP="007623DE">
      <w:pPr>
        <w:numPr>
          <w:ilvl w:val="0"/>
          <w:numId w:val="4"/>
        </w:numPr>
        <w:spacing w:after="0" w:line="240" w:lineRule="auto"/>
        <w:ind w:left="360"/>
        <w:rPr>
          <w:b/>
        </w:rPr>
      </w:pPr>
      <w:r>
        <w:t xml:space="preserve"> </w:t>
      </w:r>
      <w:r w:rsidRPr="009F15FB">
        <w:rPr>
          <w:b/>
        </w:rPr>
        <w:t xml:space="preserve">This increase in demand </w:t>
      </w:r>
      <w:r w:rsidR="00E371C7" w:rsidRPr="009F15FB">
        <w:rPr>
          <w:b/>
        </w:rPr>
        <w:t xml:space="preserve">is </w:t>
      </w:r>
      <w:r w:rsidRPr="009F15FB">
        <w:rPr>
          <w:b/>
        </w:rPr>
        <w:t xml:space="preserve">exacerbated by </w:t>
      </w:r>
      <w:r w:rsidR="00E371C7" w:rsidRPr="009F15FB">
        <w:rPr>
          <w:b/>
        </w:rPr>
        <w:t xml:space="preserve">the </w:t>
      </w:r>
      <w:r w:rsidRPr="009F15FB">
        <w:rPr>
          <w:b/>
        </w:rPr>
        <w:t>42,000</w:t>
      </w:r>
      <w:r w:rsidR="00E371C7" w:rsidRPr="009F15FB">
        <w:rPr>
          <w:b/>
        </w:rPr>
        <w:t xml:space="preserve"> (1.8%)</w:t>
      </w:r>
      <w:r w:rsidR="00FC6542" w:rsidRPr="009F15FB">
        <w:rPr>
          <w:b/>
        </w:rPr>
        <w:t xml:space="preserve"> </w:t>
      </w:r>
      <w:r w:rsidR="000343F4" w:rsidRPr="009F15FB">
        <w:rPr>
          <w:b/>
        </w:rPr>
        <w:t>reduction</w:t>
      </w:r>
      <w:r w:rsidR="00EB7C91" w:rsidRPr="009F15FB">
        <w:rPr>
          <w:b/>
        </w:rPr>
        <w:t xml:space="preserve"> </w:t>
      </w:r>
      <w:r w:rsidR="00E371C7" w:rsidRPr="009F15FB">
        <w:rPr>
          <w:b/>
        </w:rPr>
        <w:t>in the number</w:t>
      </w:r>
      <w:r w:rsidR="00BE3295" w:rsidRPr="009F15FB">
        <w:rPr>
          <w:b/>
        </w:rPr>
        <w:t>s</w:t>
      </w:r>
      <w:r w:rsidRPr="009F15FB">
        <w:rPr>
          <w:b/>
        </w:rPr>
        <w:t xml:space="preserve"> with </w:t>
      </w:r>
      <w:r w:rsidR="00F14C72" w:rsidRPr="009F15FB">
        <w:rPr>
          <w:b/>
        </w:rPr>
        <w:t>private health insurance</w:t>
      </w:r>
      <w:r w:rsidR="00EB7C91" w:rsidRPr="009F15FB">
        <w:rPr>
          <w:b/>
        </w:rPr>
        <w:t xml:space="preserve"> in the 12 months to June 2010</w:t>
      </w:r>
      <w:r w:rsidR="00FC6542" w:rsidRPr="009F15FB">
        <w:rPr>
          <w:b/>
        </w:rPr>
        <w:t>.</w:t>
      </w:r>
    </w:p>
    <w:p w:rsidR="00BE3295" w:rsidRDefault="00BE3295" w:rsidP="00BE3295">
      <w:pPr>
        <w:spacing w:after="0" w:line="240" w:lineRule="auto"/>
        <w:ind w:left="360"/>
      </w:pPr>
    </w:p>
    <w:p w:rsidR="007623DE" w:rsidRPr="00BE3295" w:rsidRDefault="00BE3295" w:rsidP="007623DE">
      <w:pPr>
        <w:spacing w:after="0" w:line="240" w:lineRule="auto"/>
        <w:ind w:left="360"/>
        <w:rPr>
          <w:b/>
          <w:sz w:val="28"/>
          <w:szCs w:val="28"/>
        </w:rPr>
      </w:pPr>
      <w:r w:rsidRPr="00BE3295">
        <w:rPr>
          <w:b/>
          <w:sz w:val="28"/>
          <w:szCs w:val="28"/>
        </w:rPr>
        <w:t>Insufficient Acute Hospital Beds</w:t>
      </w:r>
    </w:p>
    <w:p w:rsidR="007623DE" w:rsidRDefault="007623DE" w:rsidP="007623DE">
      <w:pPr>
        <w:numPr>
          <w:ilvl w:val="0"/>
          <w:numId w:val="4"/>
        </w:numPr>
        <w:spacing w:after="0" w:line="240" w:lineRule="auto"/>
        <w:ind w:left="360"/>
      </w:pPr>
      <w:r>
        <w:t>The 2009 published OECD Report confirms:</w:t>
      </w:r>
    </w:p>
    <w:p w:rsidR="007623DE" w:rsidRPr="00EB7C91" w:rsidRDefault="007623DE" w:rsidP="00FD63FF">
      <w:pPr>
        <w:numPr>
          <w:ilvl w:val="1"/>
          <w:numId w:val="7"/>
        </w:numPr>
        <w:spacing w:after="0" w:line="240" w:lineRule="auto"/>
        <w:rPr>
          <w:b/>
        </w:rPr>
      </w:pPr>
      <w:r w:rsidRPr="00EB7C91">
        <w:rPr>
          <w:b/>
        </w:rPr>
        <w:t xml:space="preserve">Ireland has significantly fewer acute hospital beds than most other OECD countries at 2.7 acute beds per 1,000 of population compared with 3.8 acute beds per 1,000 of population in the OECD on average; and </w:t>
      </w:r>
    </w:p>
    <w:p w:rsidR="007623DE" w:rsidRPr="00E12423" w:rsidRDefault="007623DE" w:rsidP="00FD63FF">
      <w:pPr>
        <w:numPr>
          <w:ilvl w:val="1"/>
          <w:numId w:val="7"/>
        </w:numPr>
        <w:spacing w:after="0" w:line="240" w:lineRule="auto"/>
        <w:rPr>
          <w:b/>
        </w:rPr>
      </w:pPr>
      <w:r w:rsidRPr="00E12423">
        <w:rPr>
          <w:b/>
        </w:rPr>
        <w:t>The average length of stay in an acute hospital in Ireland was 5.9 days which is below the OECD average of 6.5 days.</w:t>
      </w:r>
    </w:p>
    <w:p w:rsidR="007623DE" w:rsidRPr="00796F3B" w:rsidRDefault="007623DE" w:rsidP="007623DE">
      <w:pPr>
        <w:spacing w:after="0"/>
        <w:ind w:left="1440"/>
        <w:rPr>
          <w:sz w:val="20"/>
          <w:szCs w:val="20"/>
        </w:rPr>
      </w:pPr>
    </w:p>
    <w:p w:rsidR="007623DE" w:rsidRPr="00DD09AA" w:rsidRDefault="007623DE" w:rsidP="007623DE">
      <w:pPr>
        <w:numPr>
          <w:ilvl w:val="0"/>
          <w:numId w:val="4"/>
        </w:numPr>
        <w:spacing w:after="0" w:line="240" w:lineRule="auto"/>
        <w:ind w:left="360"/>
      </w:pPr>
      <w:r>
        <w:t>Despite the above compelling statistics, Irish acute</w:t>
      </w:r>
      <w:r w:rsidR="00711D9A">
        <w:t xml:space="preserve"> public</w:t>
      </w:r>
      <w:r>
        <w:t xml:space="preserve"> hospital beds were cut by 900 in 2009 and the HSE plans to close a further 1,100 acute hospital beds in 2010. </w:t>
      </w:r>
      <w:r w:rsidR="00EB7C91" w:rsidRPr="00BE3295">
        <w:rPr>
          <w:b/>
        </w:rPr>
        <w:t xml:space="preserve">Over the two years the HSE proposes to cut the number of acute hospital beds by 2,000 or an estimated </w:t>
      </w:r>
      <w:r w:rsidR="00BE3295" w:rsidRPr="00BE3295">
        <w:rPr>
          <w:b/>
        </w:rPr>
        <w:t>17%.</w:t>
      </w:r>
      <w:r>
        <w:t xml:space="preserve"> These reductions were to be facilitated on the basis that community and co-located private hospital beds would </w:t>
      </w:r>
      <w:r w:rsidR="00EB79B9">
        <w:t xml:space="preserve">be increased significantly </w:t>
      </w:r>
      <w:r>
        <w:t xml:space="preserve">to reduce demand for acute public hospital services, but this has not occurred. Therefore the reduction in acute beds is leading to </w:t>
      </w:r>
      <w:r w:rsidR="00711D9A">
        <w:t xml:space="preserve">much reduced </w:t>
      </w:r>
      <w:r>
        <w:t>capacity in acute hospitals</w:t>
      </w:r>
      <w:r w:rsidR="00FD63FF">
        <w:t xml:space="preserve"> in </w:t>
      </w:r>
      <w:r w:rsidR="00E12423">
        <w:t xml:space="preserve">the </w:t>
      </w:r>
      <w:r w:rsidR="00FD63FF">
        <w:t>fa</w:t>
      </w:r>
      <w:r w:rsidR="00E371C7">
        <w:t>ce</w:t>
      </w:r>
      <w:r w:rsidR="00FD63FF">
        <w:t xml:space="preserve"> of increasing deman</w:t>
      </w:r>
      <w:r w:rsidR="00E371C7">
        <w:t>d</w:t>
      </w:r>
      <w:r>
        <w:t>.</w:t>
      </w:r>
      <w:r w:rsidR="00EB7C91">
        <w:t xml:space="preserve"> </w:t>
      </w:r>
      <w:r w:rsidR="00EB7C91">
        <w:rPr>
          <w:b/>
        </w:rPr>
        <w:t>At the end of July 2010, 966 beds were unavailable for discharge</w:t>
      </w:r>
      <w:r w:rsidR="00BE3295">
        <w:rPr>
          <w:b/>
        </w:rPr>
        <w:t>, o</w:t>
      </w:r>
      <w:r w:rsidR="00EB7C91">
        <w:rPr>
          <w:b/>
        </w:rPr>
        <w:t xml:space="preserve">f </w:t>
      </w:r>
      <w:r w:rsidR="00BE3295">
        <w:rPr>
          <w:b/>
        </w:rPr>
        <w:t xml:space="preserve">which </w:t>
      </w:r>
      <w:r w:rsidR="00EB7C91">
        <w:rPr>
          <w:b/>
        </w:rPr>
        <w:t>762 are described as planned bed reductions</w:t>
      </w:r>
      <w:r w:rsidR="00BE3295">
        <w:rPr>
          <w:b/>
        </w:rPr>
        <w:t xml:space="preserve">. In addition, </w:t>
      </w:r>
      <w:r w:rsidR="00DD395C">
        <w:rPr>
          <w:b/>
        </w:rPr>
        <w:t xml:space="preserve">a significant </w:t>
      </w:r>
      <w:r w:rsidR="00BE3295">
        <w:rPr>
          <w:b/>
        </w:rPr>
        <w:t xml:space="preserve">number of beds </w:t>
      </w:r>
      <w:r w:rsidR="00DD395C">
        <w:rPr>
          <w:b/>
        </w:rPr>
        <w:t xml:space="preserve">are </w:t>
      </w:r>
      <w:r w:rsidR="00BE3295">
        <w:rPr>
          <w:b/>
        </w:rPr>
        <w:t>blocked to new patients because clinically discharged patients have not been provided with facilities</w:t>
      </w:r>
      <w:r w:rsidR="00B35C3E">
        <w:rPr>
          <w:b/>
        </w:rPr>
        <w:t xml:space="preserve"> appropriate to their needs</w:t>
      </w:r>
      <w:r w:rsidR="00DD395C">
        <w:rPr>
          <w:b/>
        </w:rPr>
        <w:t>.</w:t>
      </w:r>
    </w:p>
    <w:p w:rsidR="00DD09AA" w:rsidRDefault="00DD09AA" w:rsidP="00DD09AA">
      <w:pPr>
        <w:spacing w:after="0" w:line="240" w:lineRule="auto"/>
        <w:ind w:left="360"/>
        <w:rPr>
          <w:b/>
        </w:rPr>
      </w:pPr>
    </w:p>
    <w:p w:rsidR="00DD09AA" w:rsidRDefault="00DD09AA" w:rsidP="00DD09AA">
      <w:pPr>
        <w:spacing w:after="0" w:line="240" w:lineRule="auto"/>
        <w:ind w:firstLine="360"/>
        <w:rPr>
          <w:b/>
          <w:sz w:val="28"/>
          <w:szCs w:val="28"/>
        </w:rPr>
      </w:pPr>
      <w:r w:rsidRPr="00DD09AA">
        <w:rPr>
          <w:b/>
          <w:sz w:val="28"/>
          <w:szCs w:val="28"/>
        </w:rPr>
        <w:t>Mental Health Services</w:t>
      </w:r>
    </w:p>
    <w:p w:rsidR="00DD09AA" w:rsidRDefault="00DD09AA" w:rsidP="007623DE">
      <w:pPr>
        <w:numPr>
          <w:ilvl w:val="0"/>
          <w:numId w:val="4"/>
        </w:numPr>
        <w:spacing w:after="0" w:line="240" w:lineRule="auto"/>
        <w:ind w:left="360"/>
      </w:pPr>
      <w:r>
        <w:t>Mental Health expenditure up to July 31</w:t>
      </w:r>
      <w:r w:rsidRPr="00DD09AA">
        <w:rPr>
          <w:vertAlign w:val="superscript"/>
        </w:rPr>
        <w:t>st</w:t>
      </w:r>
      <w:r>
        <w:t xml:space="preserve"> is reported as totaling €411m, 1.5% over budget. This is </w:t>
      </w:r>
      <w:r w:rsidRPr="00DD395C">
        <w:rPr>
          <w:b/>
        </w:rPr>
        <w:t xml:space="preserve">equivalent to €10m </w:t>
      </w:r>
      <w:r w:rsidR="00DD395C" w:rsidRPr="00DD395C">
        <w:rPr>
          <w:b/>
        </w:rPr>
        <w:t>underfunding</w:t>
      </w:r>
      <w:r w:rsidRPr="00DD395C">
        <w:rPr>
          <w:b/>
        </w:rPr>
        <w:t xml:space="preserve"> on a full year basis</w:t>
      </w:r>
      <w:r w:rsidR="00DD395C">
        <w:t xml:space="preserve"> if services are maintained at the level required to meet patient demand.</w:t>
      </w:r>
      <w:r>
        <w:t xml:space="preserve"> </w:t>
      </w:r>
    </w:p>
    <w:p w:rsidR="00F64BCD" w:rsidRDefault="00F64BCD" w:rsidP="00F64BCD">
      <w:pPr>
        <w:spacing w:after="0" w:line="240" w:lineRule="auto"/>
        <w:ind w:left="360"/>
      </w:pPr>
    </w:p>
    <w:p w:rsidR="00A82662" w:rsidRDefault="00A82662" w:rsidP="007623DE">
      <w:pPr>
        <w:numPr>
          <w:ilvl w:val="0"/>
          <w:numId w:val="4"/>
        </w:numPr>
        <w:spacing w:after="0" w:line="240" w:lineRule="auto"/>
        <w:ind w:left="360"/>
      </w:pPr>
      <w:r w:rsidRPr="00DD395C">
        <w:rPr>
          <w:b/>
        </w:rPr>
        <w:t>Child and adolescent waiting lists totaled 2,779</w:t>
      </w:r>
      <w:r w:rsidR="004B7C96">
        <w:t xml:space="preserve"> o</w:t>
      </w:r>
      <w:r>
        <w:t>n the July 31</w:t>
      </w:r>
      <w:r w:rsidRPr="00A82662">
        <w:rPr>
          <w:vertAlign w:val="superscript"/>
        </w:rPr>
        <w:t>st</w:t>
      </w:r>
      <w:r>
        <w:t xml:space="preserve"> Performance Report.</w:t>
      </w:r>
    </w:p>
    <w:p w:rsidR="00F64BCD" w:rsidRDefault="00F64BCD" w:rsidP="00F64BCD">
      <w:pPr>
        <w:spacing w:after="0" w:line="240" w:lineRule="auto"/>
        <w:ind w:left="360"/>
      </w:pPr>
    </w:p>
    <w:p w:rsidR="00A82662" w:rsidRDefault="00A82662" w:rsidP="007623DE">
      <w:pPr>
        <w:numPr>
          <w:ilvl w:val="0"/>
          <w:numId w:val="4"/>
        </w:numPr>
        <w:spacing w:after="0" w:line="240" w:lineRule="auto"/>
        <w:ind w:left="360"/>
      </w:pPr>
      <w:r>
        <w:t xml:space="preserve">There is a serious concern that the staff embargo and </w:t>
      </w:r>
      <w:r w:rsidRPr="00DD395C">
        <w:rPr>
          <w:b/>
        </w:rPr>
        <w:t xml:space="preserve">staff cuts are disproportionately impacting on the delivery of mental health services and the development and expansion of community based mental health services, </w:t>
      </w:r>
      <w:r>
        <w:t>which require increased staff levels.</w:t>
      </w:r>
      <w:r w:rsidR="003213BE">
        <w:t xml:space="preserve"> For instance over 600 psychiatric nurses have left the service in the past year.</w:t>
      </w:r>
    </w:p>
    <w:p w:rsidR="00F64BCD" w:rsidRDefault="00F64BCD" w:rsidP="00F64BCD">
      <w:pPr>
        <w:spacing w:after="0" w:line="240" w:lineRule="auto"/>
        <w:ind w:left="360"/>
      </w:pPr>
    </w:p>
    <w:p w:rsidR="00A82662" w:rsidRDefault="00A82662" w:rsidP="007623DE">
      <w:pPr>
        <w:numPr>
          <w:ilvl w:val="0"/>
          <w:numId w:val="4"/>
        </w:numPr>
        <w:spacing w:after="0" w:line="240" w:lineRule="auto"/>
        <w:ind w:left="360"/>
      </w:pPr>
      <w:r w:rsidRPr="00DD395C">
        <w:rPr>
          <w:b/>
        </w:rPr>
        <w:t>Of particular concern</w:t>
      </w:r>
      <w:r w:rsidR="00DD395C" w:rsidRPr="00DD395C">
        <w:rPr>
          <w:b/>
        </w:rPr>
        <w:t xml:space="preserve">, </w:t>
      </w:r>
      <w:r w:rsidRPr="00DD395C">
        <w:rPr>
          <w:b/>
        </w:rPr>
        <w:t xml:space="preserve">the 2010 </w:t>
      </w:r>
      <w:r w:rsidR="00F64BCD" w:rsidRPr="00DD395C">
        <w:rPr>
          <w:b/>
        </w:rPr>
        <w:t xml:space="preserve">€50m </w:t>
      </w:r>
      <w:r w:rsidRPr="00DD395C">
        <w:rPr>
          <w:b/>
        </w:rPr>
        <w:t xml:space="preserve">capital </w:t>
      </w:r>
      <w:r w:rsidR="00DD395C" w:rsidRPr="00DD395C">
        <w:rPr>
          <w:b/>
        </w:rPr>
        <w:t xml:space="preserve">budget for </w:t>
      </w:r>
      <w:r w:rsidRPr="00DD395C">
        <w:rPr>
          <w:b/>
        </w:rPr>
        <w:t>mental health facilities</w:t>
      </w:r>
      <w:r w:rsidR="007372C1">
        <w:rPr>
          <w:b/>
        </w:rPr>
        <w:t>,</w:t>
      </w:r>
      <w:r w:rsidRPr="00DD395C">
        <w:rPr>
          <w:b/>
        </w:rPr>
        <w:t xml:space="preserve"> </w:t>
      </w:r>
      <w:r w:rsidR="00F64BCD" w:rsidRPr="00DD395C">
        <w:rPr>
          <w:b/>
        </w:rPr>
        <w:t xml:space="preserve">arising </w:t>
      </w:r>
      <w:r w:rsidRPr="00DD395C">
        <w:rPr>
          <w:b/>
        </w:rPr>
        <w:t>from the sale of surplus assets</w:t>
      </w:r>
      <w:r w:rsidR="007372C1">
        <w:rPr>
          <w:b/>
        </w:rPr>
        <w:t>,</w:t>
      </w:r>
      <w:r w:rsidRPr="00DD395C">
        <w:rPr>
          <w:b/>
        </w:rPr>
        <w:t xml:space="preserve"> is unlikely to be </w:t>
      </w:r>
      <w:r w:rsidR="00DD395C" w:rsidRPr="00DD395C">
        <w:rPr>
          <w:b/>
        </w:rPr>
        <w:t xml:space="preserve">spent </w:t>
      </w:r>
      <w:r w:rsidRPr="00DD395C">
        <w:rPr>
          <w:b/>
        </w:rPr>
        <w:t>as planned</w:t>
      </w:r>
      <w:r w:rsidR="00DD395C" w:rsidRPr="00DD395C">
        <w:rPr>
          <w:b/>
        </w:rPr>
        <w:t xml:space="preserve"> </w:t>
      </w:r>
      <w:r w:rsidR="007372C1">
        <w:rPr>
          <w:b/>
        </w:rPr>
        <w:t xml:space="preserve">during </w:t>
      </w:r>
      <w:r w:rsidR="00DD395C" w:rsidRPr="00DD395C">
        <w:rPr>
          <w:b/>
        </w:rPr>
        <w:t>the year</w:t>
      </w:r>
      <w:r w:rsidRPr="00DD395C">
        <w:rPr>
          <w:b/>
        </w:rPr>
        <w:t>.</w:t>
      </w:r>
      <w:r>
        <w:t xml:space="preserve"> The July 31</w:t>
      </w:r>
      <w:r w:rsidRPr="00A82662">
        <w:rPr>
          <w:vertAlign w:val="superscript"/>
        </w:rPr>
        <w:t>st</w:t>
      </w:r>
      <w:r w:rsidR="00F64BCD">
        <w:t xml:space="preserve"> Performance R</w:t>
      </w:r>
      <w:r>
        <w:t>eport confirm</w:t>
      </w:r>
      <w:r w:rsidR="00F64BCD">
        <w:t>ed</w:t>
      </w:r>
      <w:r>
        <w:t xml:space="preserve"> that the expenditure </w:t>
      </w:r>
      <w:r w:rsidR="00F64BCD">
        <w:t xml:space="preserve">to date totaled €10.7m, some 50% below target. </w:t>
      </w:r>
      <w:r>
        <w:t xml:space="preserve">     </w:t>
      </w:r>
    </w:p>
    <w:p w:rsidR="00F64BCD" w:rsidRDefault="00F64BCD" w:rsidP="00F64BCD">
      <w:pPr>
        <w:pStyle w:val="ListParagraph"/>
      </w:pPr>
    </w:p>
    <w:p w:rsidR="00DD09AA" w:rsidRPr="007372C1" w:rsidRDefault="00DD09AA" w:rsidP="007623DE">
      <w:pPr>
        <w:numPr>
          <w:ilvl w:val="0"/>
          <w:numId w:val="4"/>
        </w:numPr>
        <w:spacing w:after="0" w:line="240" w:lineRule="auto"/>
        <w:ind w:left="360"/>
        <w:rPr>
          <w:b/>
        </w:rPr>
      </w:pPr>
      <w:r>
        <w:t>Overall</w:t>
      </w:r>
      <w:r w:rsidR="00E5434D">
        <w:t>,</w:t>
      </w:r>
      <w:r>
        <w:t xml:space="preserve"> there is a lack of transparency in the HSE performance and other reports on the resourcing and funding provided for mental health services</w:t>
      </w:r>
      <w:r w:rsidR="00A82662">
        <w:t>.</w:t>
      </w:r>
      <w:r w:rsidR="007372C1">
        <w:t xml:space="preserve"> Mental Health over the years has suffered from the continual erosion of funding.</w:t>
      </w:r>
      <w:r w:rsidR="00A82662">
        <w:t xml:space="preserve"> </w:t>
      </w:r>
      <w:r w:rsidR="00B35C3E" w:rsidRPr="00B35C3E">
        <w:rPr>
          <w:b/>
        </w:rPr>
        <w:t>T</w:t>
      </w:r>
      <w:r w:rsidR="00A82662" w:rsidRPr="007372C1">
        <w:rPr>
          <w:b/>
        </w:rPr>
        <w:t xml:space="preserve">he HSE </w:t>
      </w:r>
      <w:r w:rsidR="007372C1" w:rsidRPr="007372C1">
        <w:rPr>
          <w:b/>
        </w:rPr>
        <w:t xml:space="preserve">Mental Health </w:t>
      </w:r>
      <w:r w:rsidR="00A82662" w:rsidRPr="007372C1">
        <w:rPr>
          <w:b/>
        </w:rPr>
        <w:t>budget amount</w:t>
      </w:r>
      <w:r w:rsidR="007372C1" w:rsidRPr="007372C1">
        <w:rPr>
          <w:b/>
        </w:rPr>
        <w:t>s</w:t>
      </w:r>
      <w:r w:rsidR="00A82662" w:rsidRPr="007372C1">
        <w:rPr>
          <w:b/>
        </w:rPr>
        <w:t xml:space="preserve"> to </w:t>
      </w:r>
      <w:r w:rsidR="007372C1" w:rsidRPr="007372C1">
        <w:rPr>
          <w:b/>
        </w:rPr>
        <w:t>about</w:t>
      </w:r>
      <w:r w:rsidR="00A82662" w:rsidRPr="007372C1">
        <w:rPr>
          <w:b/>
        </w:rPr>
        <w:t xml:space="preserve"> 5.3% of the overall HSE Budget, which is well below the 8.4% recommendation included in Vision for Change.</w:t>
      </w:r>
      <w:r w:rsidRPr="007372C1">
        <w:rPr>
          <w:b/>
        </w:rPr>
        <w:t xml:space="preserve"> </w:t>
      </w:r>
    </w:p>
    <w:p w:rsidR="00DD09AA" w:rsidRPr="00DD09AA" w:rsidRDefault="00DD09AA" w:rsidP="00DD09AA">
      <w:pPr>
        <w:spacing w:after="0" w:line="240" w:lineRule="auto"/>
      </w:pPr>
      <w:r>
        <w:t xml:space="preserve"> </w:t>
      </w:r>
    </w:p>
    <w:p w:rsidR="00F64BCD" w:rsidRDefault="00F64BCD" w:rsidP="00DD09AA">
      <w:pPr>
        <w:spacing w:after="0" w:line="240" w:lineRule="auto"/>
        <w:rPr>
          <w:b/>
        </w:rPr>
      </w:pPr>
    </w:p>
    <w:p w:rsidR="007623DE" w:rsidRPr="00BE3295" w:rsidRDefault="00BE3295" w:rsidP="00BE3295">
      <w:pPr>
        <w:spacing w:after="0"/>
        <w:ind w:left="426"/>
        <w:rPr>
          <w:b/>
          <w:sz w:val="28"/>
          <w:szCs w:val="28"/>
        </w:rPr>
      </w:pPr>
      <w:r w:rsidRPr="00BE3295">
        <w:rPr>
          <w:b/>
          <w:sz w:val="28"/>
          <w:szCs w:val="28"/>
        </w:rPr>
        <w:t>Budget and the HSE National Service Plan</w:t>
      </w:r>
      <w:r w:rsidR="00021DB2">
        <w:rPr>
          <w:b/>
          <w:sz w:val="28"/>
          <w:szCs w:val="28"/>
        </w:rPr>
        <w:t>s</w:t>
      </w:r>
      <w:r w:rsidRPr="00BE3295">
        <w:rPr>
          <w:b/>
          <w:sz w:val="28"/>
          <w:szCs w:val="28"/>
        </w:rPr>
        <w:t xml:space="preserve"> </w:t>
      </w:r>
      <w:r>
        <w:rPr>
          <w:b/>
          <w:sz w:val="28"/>
          <w:szCs w:val="28"/>
        </w:rPr>
        <w:t>Underestimate</w:t>
      </w:r>
      <w:r w:rsidRPr="00BE3295">
        <w:rPr>
          <w:b/>
          <w:sz w:val="28"/>
          <w:szCs w:val="28"/>
        </w:rPr>
        <w:t xml:space="preserve"> Demand</w:t>
      </w:r>
    </w:p>
    <w:p w:rsidR="00EB7C91" w:rsidRPr="00043ACD" w:rsidRDefault="007623DE" w:rsidP="00DE7305">
      <w:pPr>
        <w:numPr>
          <w:ilvl w:val="0"/>
          <w:numId w:val="4"/>
        </w:numPr>
        <w:spacing w:after="0" w:line="240" w:lineRule="auto"/>
        <w:ind w:left="426" w:hanging="426"/>
        <w:rPr>
          <w:b/>
          <w:sz w:val="16"/>
          <w:szCs w:val="16"/>
        </w:rPr>
      </w:pPr>
      <w:r>
        <w:t>Acute hospital service delivery has consistently exceeded the targets included in the annual HSE National Serv</w:t>
      </w:r>
      <w:r w:rsidR="00F14C72">
        <w:t>ice Plans for inpatient, day car</w:t>
      </w:r>
      <w:r>
        <w:t xml:space="preserve">e and outpatient attendances, as </w:t>
      </w:r>
      <w:r w:rsidR="00E12423">
        <w:t>illustrated</w:t>
      </w:r>
      <w:r>
        <w:t xml:space="preserve"> in the </w:t>
      </w:r>
      <w:r w:rsidR="00BE3295">
        <w:t>graph</w:t>
      </w:r>
      <w:r>
        <w:t xml:space="preserve"> below</w:t>
      </w:r>
      <w:r w:rsidR="00BE3295">
        <w:t xml:space="preserve"> comparing the NSP target and actual in-patient activity in 2008 and 2009</w:t>
      </w:r>
      <w:r>
        <w:t xml:space="preserve">.  </w:t>
      </w:r>
      <w:r w:rsidR="004F594C">
        <w:t xml:space="preserve">Statistics </w:t>
      </w:r>
      <w:r w:rsidR="00021DB2">
        <w:t xml:space="preserve">on a month to month basis </w:t>
      </w:r>
      <w:r w:rsidR="004F594C">
        <w:t>are</w:t>
      </w:r>
      <w:r w:rsidR="00021DB2">
        <w:t xml:space="preserve"> not available from the HSE for 2010, but the indicators confirm that same trend has continued in 2010 as illustrated in the graph below.</w:t>
      </w:r>
    </w:p>
    <w:p w:rsidR="00043ACD" w:rsidRPr="00EB7C91" w:rsidRDefault="00043ACD" w:rsidP="00043ACD">
      <w:pPr>
        <w:spacing w:after="0" w:line="240" w:lineRule="auto"/>
        <w:ind w:left="426"/>
        <w:rPr>
          <w:b/>
          <w:sz w:val="16"/>
          <w:szCs w:val="16"/>
        </w:rPr>
      </w:pPr>
    </w:p>
    <w:p w:rsidR="00EB7C91" w:rsidRDefault="006943BA" w:rsidP="00EB7C91">
      <w:pPr>
        <w:spacing w:after="0" w:line="240" w:lineRule="auto"/>
        <w:rPr>
          <w:b/>
          <w:lang w:val="en-GB"/>
        </w:rPr>
      </w:pPr>
      <w:r w:rsidRPr="000B495A">
        <w:rPr>
          <w:rFonts w:ascii="Arial" w:hAnsi="Arial" w:cs="Arial"/>
          <w:color w:val="0033CC"/>
          <w:sz w:val="20"/>
          <w:szCs w:val="20"/>
        </w:rPr>
        <w:pict>
          <v:shape id="_x0000_i1026" type="#_x0000_t75" alt="" style="width:361.5pt;height:216.75pt">
            <v:imagedata r:id="rId13" r:href="rId14"/>
          </v:shape>
        </w:pict>
      </w:r>
    </w:p>
    <w:p w:rsidR="00EB7C91" w:rsidRDefault="00021DB2" w:rsidP="00EB7C91">
      <w:pPr>
        <w:spacing w:after="0" w:line="240" w:lineRule="auto"/>
        <w:rPr>
          <w:lang w:val="en-GB"/>
        </w:rPr>
      </w:pPr>
      <w:r w:rsidRPr="00E5434D">
        <w:rPr>
          <w:lang w:val="en-GB"/>
        </w:rPr>
        <w:t>Source: IHCA based on HSE performance report data</w:t>
      </w:r>
    </w:p>
    <w:p w:rsidR="00937590" w:rsidRPr="00E5434D" w:rsidRDefault="00937590" w:rsidP="00EB7C91">
      <w:pPr>
        <w:spacing w:after="0" w:line="240" w:lineRule="auto"/>
        <w:rPr>
          <w:lang w:val="en-GB"/>
        </w:rPr>
      </w:pPr>
    </w:p>
    <w:p w:rsidR="007623DE" w:rsidRPr="007F3DFE" w:rsidRDefault="007623DE" w:rsidP="00DE7305">
      <w:pPr>
        <w:numPr>
          <w:ilvl w:val="0"/>
          <w:numId w:val="4"/>
        </w:numPr>
        <w:spacing w:after="0" w:line="240" w:lineRule="auto"/>
        <w:ind w:left="426" w:hanging="426"/>
        <w:rPr>
          <w:b/>
          <w:sz w:val="16"/>
          <w:szCs w:val="16"/>
        </w:rPr>
      </w:pPr>
      <w:r>
        <w:t xml:space="preserve">The 2010 HSE proposal to reduce in-patient numbers by 54,000 </w:t>
      </w:r>
      <w:r w:rsidR="007372C1">
        <w:t xml:space="preserve">in 2010 </w:t>
      </w:r>
      <w:r>
        <w:t>(-9.1% compared with</w:t>
      </w:r>
      <w:r w:rsidR="00711D9A">
        <w:t xml:space="preserve"> the</w:t>
      </w:r>
      <w:r>
        <w:t xml:space="preserve"> 2009 outturn) is highly questionable given demand levels and the reduction of 7,775 (-1.3%) achieved in 2009.</w:t>
      </w:r>
      <w:r w:rsidR="00E12423">
        <w:t xml:space="preserve">  </w:t>
      </w:r>
      <w:r w:rsidR="00E12423" w:rsidRPr="00A21992">
        <w:rPr>
          <w:b/>
        </w:rPr>
        <w:t>T</w:t>
      </w:r>
      <w:r w:rsidR="00BE3295" w:rsidRPr="00A21992">
        <w:rPr>
          <w:b/>
        </w:rPr>
        <w:t>he 2010 activity figures to July 31</w:t>
      </w:r>
      <w:r w:rsidR="00BE3295" w:rsidRPr="00A21992">
        <w:rPr>
          <w:b/>
          <w:vertAlign w:val="superscript"/>
        </w:rPr>
        <w:t>st</w:t>
      </w:r>
      <w:r w:rsidR="00BE3295" w:rsidRPr="00A21992">
        <w:rPr>
          <w:b/>
        </w:rPr>
        <w:t xml:space="preserve"> </w:t>
      </w:r>
      <w:r w:rsidR="00E12423" w:rsidRPr="00A21992">
        <w:rPr>
          <w:b/>
        </w:rPr>
        <w:t>confirm</w:t>
      </w:r>
      <w:r w:rsidR="00A21992" w:rsidRPr="00A21992">
        <w:rPr>
          <w:b/>
        </w:rPr>
        <w:t xml:space="preserve"> that inpatient and day</w:t>
      </w:r>
      <w:r w:rsidR="007372C1">
        <w:rPr>
          <w:b/>
        </w:rPr>
        <w:t xml:space="preserve"> </w:t>
      </w:r>
      <w:r w:rsidR="00A21992" w:rsidRPr="00A21992">
        <w:rPr>
          <w:b/>
        </w:rPr>
        <w:t>cas</w:t>
      </w:r>
      <w:r w:rsidR="00F14C72" w:rsidRPr="00A21992">
        <w:rPr>
          <w:b/>
        </w:rPr>
        <w:t xml:space="preserve">e discharges are </w:t>
      </w:r>
      <w:r w:rsidR="007372C1">
        <w:rPr>
          <w:b/>
        </w:rPr>
        <w:t>24,124 (+7.6%) and 27,639</w:t>
      </w:r>
      <w:r w:rsidR="00D55FC4">
        <w:rPr>
          <w:b/>
        </w:rPr>
        <w:t xml:space="preserve"> </w:t>
      </w:r>
      <w:r w:rsidR="007372C1">
        <w:rPr>
          <w:b/>
        </w:rPr>
        <w:t>(+6.9%)</w:t>
      </w:r>
      <w:r w:rsidR="0089152B" w:rsidRPr="0089152B">
        <w:rPr>
          <w:b/>
        </w:rPr>
        <w:t xml:space="preserve"> </w:t>
      </w:r>
      <w:r w:rsidR="0089152B">
        <w:rPr>
          <w:b/>
        </w:rPr>
        <w:t>respectively</w:t>
      </w:r>
      <w:r w:rsidR="00F14C72" w:rsidRPr="00A21992">
        <w:rPr>
          <w:b/>
        </w:rPr>
        <w:t xml:space="preserve"> above the </w:t>
      </w:r>
      <w:r w:rsidR="00A21992" w:rsidRPr="00A21992">
        <w:rPr>
          <w:b/>
        </w:rPr>
        <w:t>July 31</w:t>
      </w:r>
      <w:r w:rsidR="00A21992" w:rsidRPr="00A21992">
        <w:rPr>
          <w:b/>
          <w:vertAlign w:val="superscript"/>
        </w:rPr>
        <w:t>st</w:t>
      </w:r>
      <w:r w:rsidR="00A21992" w:rsidRPr="00A21992">
        <w:rPr>
          <w:b/>
        </w:rPr>
        <w:t xml:space="preserve"> </w:t>
      </w:r>
      <w:r w:rsidR="00711D9A" w:rsidRPr="00A21992">
        <w:rPr>
          <w:b/>
        </w:rPr>
        <w:t>targets</w:t>
      </w:r>
      <w:r w:rsidR="00F14C72" w:rsidRPr="00A21992">
        <w:rPr>
          <w:b/>
        </w:rPr>
        <w:t xml:space="preserve"> in the National Service Plan</w:t>
      </w:r>
      <w:r w:rsidR="00F14C72">
        <w:t xml:space="preserve">.  </w:t>
      </w:r>
    </w:p>
    <w:p w:rsidR="007623DE" w:rsidRPr="00B7453A" w:rsidRDefault="007623DE" w:rsidP="007F3DFE">
      <w:pPr>
        <w:ind w:left="709"/>
      </w:pPr>
      <w:r>
        <w:rPr>
          <w:b/>
        </w:rPr>
        <w:t xml:space="preserve"> </w:t>
      </w:r>
      <w:r w:rsidRPr="00B7453A">
        <w:rPr>
          <w:b/>
        </w:rPr>
        <w:t xml:space="preserve">Hospital Service Outturns </w:t>
      </w:r>
      <w:r w:rsidR="009E4513">
        <w:rPr>
          <w:b/>
        </w:rPr>
        <w:t>Compared with</w:t>
      </w:r>
      <w:r>
        <w:rPr>
          <w:b/>
        </w:rPr>
        <w:t xml:space="preserve"> the HSE National Service Plan</w:t>
      </w:r>
      <w:r w:rsidRPr="00B7453A">
        <w:rPr>
          <w:b/>
        </w:rPr>
        <w:t xml:space="preserve"> Targets</w:t>
      </w:r>
    </w:p>
    <w:tbl>
      <w:tblPr>
        <w:tblW w:w="0" w:type="auto"/>
        <w:tblInd w:w="817" w:type="dxa"/>
        <w:tblBorders>
          <w:top w:val="single" w:sz="12" w:space="0" w:color="000000"/>
          <w:bottom w:val="single" w:sz="12" w:space="0" w:color="000000"/>
        </w:tblBorders>
        <w:tblLook w:val="01E0"/>
      </w:tblPr>
      <w:tblGrid>
        <w:gridCol w:w="2288"/>
        <w:gridCol w:w="1761"/>
        <w:gridCol w:w="1519"/>
        <w:gridCol w:w="1760"/>
        <w:gridCol w:w="1431"/>
      </w:tblGrid>
      <w:tr w:rsidR="00EB79B9" w:rsidRPr="00EB7847" w:rsidTr="00EB79B9">
        <w:trPr>
          <w:trHeight w:val="393"/>
        </w:trPr>
        <w:tc>
          <w:tcPr>
            <w:tcW w:w="2360" w:type="dxa"/>
            <w:tcBorders>
              <w:bottom w:val="single" w:sz="6" w:space="0" w:color="000000"/>
              <w:right w:val="single" w:sz="6" w:space="0" w:color="000000"/>
            </w:tcBorders>
            <w:shd w:val="clear" w:color="auto" w:fill="auto"/>
          </w:tcPr>
          <w:p w:rsidR="00EB79B9" w:rsidRPr="00061416" w:rsidRDefault="00EB79B9" w:rsidP="00EB79B9">
            <w:pPr>
              <w:spacing w:after="0"/>
              <w:ind w:left="-11"/>
              <w:rPr>
                <w:b/>
                <w:i/>
                <w:iCs/>
                <w:sz w:val="20"/>
                <w:szCs w:val="20"/>
              </w:rPr>
            </w:pPr>
          </w:p>
        </w:tc>
        <w:tc>
          <w:tcPr>
            <w:tcW w:w="1786" w:type="dxa"/>
            <w:tcBorders>
              <w:bottom w:val="single" w:sz="6" w:space="0" w:color="000000"/>
            </w:tcBorders>
            <w:shd w:val="clear" w:color="auto" w:fill="auto"/>
          </w:tcPr>
          <w:p w:rsidR="00EB79B9" w:rsidRPr="00061416" w:rsidRDefault="00EB79B9" w:rsidP="00EB79B9">
            <w:pPr>
              <w:spacing w:after="0"/>
              <w:ind w:left="709"/>
              <w:rPr>
                <w:b/>
                <w:i/>
                <w:iCs/>
                <w:sz w:val="20"/>
                <w:szCs w:val="20"/>
              </w:rPr>
            </w:pPr>
            <w:r w:rsidRPr="00061416">
              <w:rPr>
                <w:b/>
                <w:i/>
                <w:iCs/>
                <w:sz w:val="20"/>
                <w:szCs w:val="20"/>
              </w:rPr>
              <w:t>2007</w:t>
            </w:r>
          </w:p>
        </w:tc>
        <w:tc>
          <w:tcPr>
            <w:tcW w:w="1526" w:type="dxa"/>
            <w:tcBorders>
              <w:bottom w:val="single" w:sz="6" w:space="0" w:color="000000"/>
            </w:tcBorders>
            <w:shd w:val="clear" w:color="auto" w:fill="auto"/>
          </w:tcPr>
          <w:p w:rsidR="00EB79B9" w:rsidRPr="00061416" w:rsidRDefault="00EB79B9" w:rsidP="00EB79B9">
            <w:pPr>
              <w:spacing w:after="0"/>
              <w:ind w:left="709"/>
              <w:rPr>
                <w:b/>
                <w:i/>
                <w:iCs/>
                <w:sz w:val="20"/>
                <w:szCs w:val="20"/>
              </w:rPr>
            </w:pPr>
            <w:r w:rsidRPr="00061416">
              <w:rPr>
                <w:b/>
                <w:i/>
                <w:iCs/>
                <w:sz w:val="20"/>
                <w:szCs w:val="20"/>
              </w:rPr>
              <w:t>2008</w:t>
            </w:r>
          </w:p>
        </w:tc>
        <w:tc>
          <w:tcPr>
            <w:tcW w:w="1785" w:type="dxa"/>
            <w:tcBorders>
              <w:bottom w:val="single" w:sz="6" w:space="0" w:color="000000"/>
            </w:tcBorders>
            <w:shd w:val="clear" w:color="auto" w:fill="auto"/>
          </w:tcPr>
          <w:p w:rsidR="00EB79B9" w:rsidRPr="00061416" w:rsidRDefault="00EB79B9" w:rsidP="00EB79B9">
            <w:pPr>
              <w:spacing w:after="0"/>
              <w:ind w:left="709"/>
              <w:rPr>
                <w:b/>
                <w:i/>
                <w:iCs/>
                <w:sz w:val="20"/>
                <w:szCs w:val="20"/>
              </w:rPr>
            </w:pPr>
            <w:r w:rsidRPr="00061416">
              <w:rPr>
                <w:b/>
                <w:i/>
                <w:iCs/>
                <w:sz w:val="20"/>
                <w:szCs w:val="20"/>
              </w:rPr>
              <w:t xml:space="preserve">2009 </w:t>
            </w:r>
          </w:p>
          <w:p w:rsidR="00EB79B9" w:rsidRPr="00061416" w:rsidRDefault="00EB79B9" w:rsidP="00EB79B9">
            <w:pPr>
              <w:spacing w:after="0"/>
              <w:ind w:left="709"/>
              <w:rPr>
                <w:b/>
                <w:i/>
                <w:iCs/>
                <w:sz w:val="20"/>
                <w:szCs w:val="20"/>
              </w:rPr>
            </w:pPr>
          </w:p>
        </w:tc>
        <w:tc>
          <w:tcPr>
            <w:tcW w:w="1302" w:type="dxa"/>
            <w:tcBorders>
              <w:bottom w:val="single" w:sz="6" w:space="0" w:color="000000"/>
            </w:tcBorders>
          </w:tcPr>
          <w:p w:rsidR="00EB79B9" w:rsidRPr="00061416" w:rsidRDefault="00EB79B9" w:rsidP="00EB79B9">
            <w:pPr>
              <w:spacing w:after="0"/>
              <w:ind w:left="709"/>
              <w:rPr>
                <w:b/>
                <w:i/>
                <w:iCs/>
                <w:sz w:val="20"/>
                <w:szCs w:val="20"/>
              </w:rPr>
            </w:pPr>
            <w:r w:rsidRPr="00061416">
              <w:rPr>
                <w:b/>
                <w:i/>
                <w:iCs/>
                <w:sz w:val="20"/>
                <w:szCs w:val="20"/>
              </w:rPr>
              <w:t>2010</w:t>
            </w:r>
            <w:r w:rsidR="00FC6542">
              <w:rPr>
                <w:b/>
                <w:i/>
                <w:iCs/>
                <w:sz w:val="20"/>
                <w:szCs w:val="20"/>
              </w:rPr>
              <w:t>*</w:t>
            </w:r>
          </w:p>
        </w:tc>
      </w:tr>
      <w:tr w:rsidR="00EB79B9" w:rsidRPr="00B7453A" w:rsidTr="00EB79B9">
        <w:tc>
          <w:tcPr>
            <w:tcW w:w="2360" w:type="dxa"/>
            <w:tcBorders>
              <w:right w:val="single" w:sz="6" w:space="0" w:color="000000"/>
            </w:tcBorders>
            <w:shd w:val="clear" w:color="auto" w:fill="auto"/>
          </w:tcPr>
          <w:p w:rsidR="00EB79B9" w:rsidRPr="00061416" w:rsidRDefault="00EB79B9" w:rsidP="00EB79B9">
            <w:pPr>
              <w:spacing w:after="0"/>
              <w:ind w:left="-11"/>
              <w:rPr>
                <w:sz w:val="20"/>
                <w:szCs w:val="20"/>
              </w:rPr>
            </w:pPr>
            <w:r w:rsidRPr="00061416">
              <w:rPr>
                <w:sz w:val="20"/>
                <w:szCs w:val="20"/>
              </w:rPr>
              <w:t>In-Patient Discharges</w:t>
            </w:r>
          </w:p>
        </w:tc>
        <w:tc>
          <w:tcPr>
            <w:tcW w:w="1786" w:type="dxa"/>
            <w:shd w:val="clear" w:color="auto" w:fill="auto"/>
          </w:tcPr>
          <w:p w:rsidR="00EB79B9" w:rsidRPr="00061416" w:rsidRDefault="00EB79B9" w:rsidP="00EB79B9">
            <w:pPr>
              <w:spacing w:after="0"/>
              <w:ind w:left="709"/>
              <w:rPr>
                <w:sz w:val="20"/>
                <w:szCs w:val="20"/>
              </w:rPr>
            </w:pPr>
            <w:r w:rsidRPr="00061416">
              <w:rPr>
                <w:sz w:val="20"/>
                <w:szCs w:val="20"/>
              </w:rPr>
              <w:t>+2.5%</w:t>
            </w:r>
          </w:p>
        </w:tc>
        <w:tc>
          <w:tcPr>
            <w:tcW w:w="1526" w:type="dxa"/>
            <w:shd w:val="clear" w:color="auto" w:fill="auto"/>
          </w:tcPr>
          <w:p w:rsidR="00EB79B9" w:rsidRPr="00061416" w:rsidRDefault="00EB79B9" w:rsidP="00EB79B9">
            <w:pPr>
              <w:spacing w:after="0"/>
              <w:ind w:left="709"/>
              <w:rPr>
                <w:sz w:val="20"/>
                <w:szCs w:val="20"/>
              </w:rPr>
            </w:pPr>
            <w:r w:rsidRPr="00061416">
              <w:rPr>
                <w:sz w:val="20"/>
                <w:szCs w:val="20"/>
              </w:rPr>
              <w:t>+1.7%</w:t>
            </w:r>
          </w:p>
        </w:tc>
        <w:tc>
          <w:tcPr>
            <w:tcW w:w="1785" w:type="dxa"/>
            <w:shd w:val="clear" w:color="auto" w:fill="auto"/>
          </w:tcPr>
          <w:p w:rsidR="00EB79B9" w:rsidRPr="00061416" w:rsidRDefault="00EB79B9" w:rsidP="00EB79B9">
            <w:pPr>
              <w:spacing w:after="0"/>
              <w:ind w:left="709"/>
              <w:rPr>
                <w:sz w:val="20"/>
                <w:szCs w:val="20"/>
              </w:rPr>
            </w:pPr>
            <w:r w:rsidRPr="00061416">
              <w:rPr>
                <w:sz w:val="20"/>
                <w:szCs w:val="20"/>
              </w:rPr>
              <w:t>+3.5%</w:t>
            </w:r>
          </w:p>
        </w:tc>
        <w:tc>
          <w:tcPr>
            <w:tcW w:w="1302" w:type="dxa"/>
          </w:tcPr>
          <w:p w:rsidR="00EB79B9" w:rsidRPr="00061416" w:rsidRDefault="00F14C72" w:rsidP="00EB79B9">
            <w:pPr>
              <w:spacing w:after="0"/>
              <w:ind w:left="709"/>
              <w:rPr>
                <w:sz w:val="20"/>
                <w:szCs w:val="20"/>
              </w:rPr>
            </w:pPr>
            <w:r w:rsidRPr="00061416">
              <w:rPr>
                <w:sz w:val="20"/>
                <w:szCs w:val="20"/>
              </w:rPr>
              <w:t>+7.6%</w:t>
            </w:r>
          </w:p>
        </w:tc>
      </w:tr>
      <w:tr w:rsidR="00EB79B9" w:rsidRPr="00B7453A" w:rsidTr="00EB79B9">
        <w:tc>
          <w:tcPr>
            <w:tcW w:w="2360" w:type="dxa"/>
            <w:tcBorders>
              <w:right w:val="single" w:sz="6" w:space="0" w:color="000000"/>
            </w:tcBorders>
            <w:shd w:val="clear" w:color="auto" w:fill="auto"/>
          </w:tcPr>
          <w:p w:rsidR="00EB79B9" w:rsidRPr="00061416" w:rsidRDefault="00EB79B9" w:rsidP="00EB79B9">
            <w:pPr>
              <w:spacing w:after="0"/>
              <w:ind w:left="-11"/>
              <w:rPr>
                <w:sz w:val="20"/>
                <w:szCs w:val="20"/>
              </w:rPr>
            </w:pPr>
            <w:r w:rsidRPr="00061416">
              <w:rPr>
                <w:sz w:val="20"/>
                <w:szCs w:val="20"/>
              </w:rPr>
              <w:t>Day cases</w:t>
            </w:r>
          </w:p>
        </w:tc>
        <w:tc>
          <w:tcPr>
            <w:tcW w:w="1786" w:type="dxa"/>
            <w:shd w:val="clear" w:color="auto" w:fill="auto"/>
          </w:tcPr>
          <w:p w:rsidR="00EB79B9" w:rsidRPr="00061416" w:rsidRDefault="00EB79B9" w:rsidP="00EB79B9">
            <w:pPr>
              <w:spacing w:after="0"/>
              <w:ind w:left="709"/>
              <w:rPr>
                <w:sz w:val="20"/>
                <w:szCs w:val="20"/>
              </w:rPr>
            </w:pPr>
            <w:r w:rsidRPr="00061416">
              <w:rPr>
                <w:sz w:val="20"/>
                <w:szCs w:val="20"/>
              </w:rPr>
              <w:t>+2.5%</w:t>
            </w:r>
          </w:p>
        </w:tc>
        <w:tc>
          <w:tcPr>
            <w:tcW w:w="1526" w:type="dxa"/>
            <w:shd w:val="clear" w:color="auto" w:fill="auto"/>
          </w:tcPr>
          <w:p w:rsidR="00EB79B9" w:rsidRPr="00061416" w:rsidRDefault="00EB79B9" w:rsidP="00EB79B9">
            <w:pPr>
              <w:spacing w:after="0"/>
              <w:ind w:left="709"/>
              <w:rPr>
                <w:sz w:val="20"/>
                <w:szCs w:val="20"/>
              </w:rPr>
            </w:pPr>
            <w:r w:rsidRPr="00061416">
              <w:rPr>
                <w:sz w:val="20"/>
                <w:szCs w:val="20"/>
              </w:rPr>
              <w:t>+7.9%</w:t>
            </w:r>
          </w:p>
        </w:tc>
        <w:tc>
          <w:tcPr>
            <w:tcW w:w="1785" w:type="dxa"/>
            <w:shd w:val="clear" w:color="auto" w:fill="auto"/>
          </w:tcPr>
          <w:p w:rsidR="00EB79B9" w:rsidRPr="00061416" w:rsidRDefault="00EB79B9" w:rsidP="00EB79B9">
            <w:pPr>
              <w:spacing w:after="0"/>
              <w:ind w:left="709"/>
              <w:rPr>
                <w:sz w:val="20"/>
                <w:szCs w:val="20"/>
              </w:rPr>
            </w:pPr>
            <w:r w:rsidRPr="00061416">
              <w:rPr>
                <w:sz w:val="20"/>
                <w:szCs w:val="20"/>
              </w:rPr>
              <w:t>+4.3%</w:t>
            </w:r>
          </w:p>
        </w:tc>
        <w:tc>
          <w:tcPr>
            <w:tcW w:w="1302" w:type="dxa"/>
          </w:tcPr>
          <w:p w:rsidR="00EB79B9" w:rsidRPr="00061416" w:rsidRDefault="00F14C72" w:rsidP="00EB79B9">
            <w:pPr>
              <w:spacing w:after="0"/>
              <w:ind w:left="709"/>
              <w:rPr>
                <w:sz w:val="20"/>
                <w:szCs w:val="20"/>
              </w:rPr>
            </w:pPr>
            <w:r w:rsidRPr="00061416">
              <w:rPr>
                <w:sz w:val="20"/>
                <w:szCs w:val="20"/>
              </w:rPr>
              <w:t>+6.9%</w:t>
            </w:r>
          </w:p>
        </w:tc>
      </w:tr>
      <w:tr w:rsidR="00EB79B9" w:rsidRPr="00B7453A" w:rsidTr="00EB79B9">
        <w:tc>
          <w:tcPr>
            <w:tcW w:w="2360" w:type="dxa"/>
            <w:tcBorders>
              <w:right w:val="single" w:sz="6" w:space="0" w:color="000000"/>
            </w:tcBorders>
            <w:shd w:val="clear" w:color="auto" w:fill="auto"/>
          </w:tcPr>
          <w:p w:rsidR="00EB79B9" w:rsidRPr="00061416" w:rsidRDefault="00EB79B9" w:rsidP="00EB79B9">
            <w:pPr>
              <w:spacing w:after="0"/>
              <w:ind w:left="-11"/>
              <w:rPr>
                <w:sz w:val="20"/>
                <w:szCs w:val="20"/>
              </w:rPr>
            </w:pPr>
            <w:r w:rsidRPr="00061416">
              <w:rPr>
                <w:sz w:val="20"/>
                <w:szCs w:val="20"/>
              </w:rPr>
              <w:t>Emergency Presentations</w:t>
            </w:r>
          </w:p>
        </w:tc>
        <w:tc>
          <w:tcPr>
            <w:tcW w:w="1786" w:type="dxa"/>
            <w:shd w:val="clear" w:color="auto" w:fill="auto"/>
          </w:tcPr>
          <w:p w:rsidR="00EB79B9" w:rsidRPr="00061416" w:rsidRDefault="00EB79B9" w:rsidP="00EB79B9">
            <w:pPr>
              <w:spacing w:after="0"/>
              <w:ind w:left="709"/>
              <w:rPr>
                <w:sz w:val="20"/>
                <w:szCs w:val="20"/>
              </w:rPr>
            </w:pPr>
            <w:r w:rsidRPr="00061416">
              <w:rPr>
                <w:sz w:val="20"/>
                <w:szCs w:val="20"/>
              </w:rPr>
              <w:t>+5%</w:t>
            </w:r>
          </w:p>
        </w:tc>
        <w:tc>
          <w:tcPr>
            <w:tcW w:w="1526" w:type="dxa"/>
            <w:shd w:val="clear" w:color="auto" w:fill="auto"/>
          </w:tcPr>
          <w:p w:rsidR="00EB79B9" w:rsidRPr="00061416" w:rsidRDefault="00EB79B9" w:rsidP="00EB79B9">
            <w:pPr>
              <w:spacing w:after="0"/>
              <w:ind w:left="709"/>
              <w:rPr>
                <w:sz w:val="20"/>
                <w:szCs w:val="20"/>
              </w:rPr>
            </w:pPr>
            <w:r w:rsidRPr="00061416">
              <w:rPr>
                <w:sz w:val="20"/>
                <w:szCs w:val="20"/>
              </w:rPr>
              <w:t>+3.3%</w:t>
            </w:r>
          </w:p>
        </w:tc>
        <w:tc>
          <w:tcPr>
            <w:tcW w:w="1785" w:type="dxa"/>
            <w:shd w:val="clear" w:color="auto" w:fill="auto"/>
          </w:tcPr>
          <w:p w:rsidR="00EB79B9" w:rsidRPr="00061416" w:rsidRDefault="00EB79B9" w:rsidP="00EB79B9">
            <w:pPr>
              <w:spacing w:after="0"/>
              <w:ind w:left="709"/>
              <w:rPr>
                <w:sz w:val="20"/>
                <w:szCs w:val="20"/>
              </w:rPr>
            </w:pPr>
            <w:r w:rsidRPr="00061416">
              <w:rPr>
                <w:sz w:val="20"/>
                <w:szCs w:val="20"/>
              </w:rPr>
              <w:t>- 3.3%</w:t>
            </w:r>
          </w:p>
        </w:tc>
        <w:tc>
          <w:tcPr>
            <w:tcW w:w="1302" w:type="dxa"/>
          </w:tcPr>
          <w:p w:rsidR="00EB79B9" w:rsidRPr="00061416" w:rsidRDefault="0012434C" w:rsidP="00EB79B9">
            <w:pPr>
              <w:spacing w:after="0"/>
              <w:ind w:left="709"/>
              <w:rPr>
                <w:sz w:val="20"/>
                <w:szCs w:val="20"/>
              </w:rPr>
            </w:pPr>
            <w:r>
              <w:rPr>
                <w:sz w:val="20"/>
                <w:szCs w:val="20"/>
              </w:rPr>
              <w:t>N/A</w:t>
            </w:r>
          </w:p>
        </w:tc>
      </w:tr>
      <w:tr w:rsidR="00EB79B9" w:rsidRPr="00B7453A" w:rsidTr="00083D63">
        <w:trPr>
          <w:trHeight w:val="438"/>
        </w:trPr>
        <w:tc>
          <w:tcPr>
            <w:tcW w:w="2360" w:type="dxa"/>
            <w:tcBorders>
              <w:right w:val="single" w:sz="6" w:space="0" w:color="000000"/>
            </w:tcBorders>
            <w:shd w:val="clear" w:color="auto" w:fill="auto"/>
          </w:tcPr>
          <w:p w:rsidR="00EB79B9" w:rsidRPr="00061416" w:rsidRDefault="00EB79B9" w:rsidP="00EB79B9">
            <w:pPr>
              <w:spacing w:after="0"/>
              <w:ind w:left="-11"/>
              <w:rPr>
                <w:sz w:val="20"/>
                <w:szCs w:val="20"/>
              </w:rPr>
            </w:pPr>
            <w:r w:rsidRPr="00061416">
              <w:rPr>
                <w:sz w:val="20"/>
                <w:szCs w:val="20"/>
              </w:rPr>
              <w:t>Emergency Admissions</w:t>
            </w:r>
          </w:p>
        </w:tc>
        <w:tc>
          <w:tcPr>
            <w:tcW w:w="1786" w:type="dxa"/>
            <w:shd w:val="clear" w:color="auto" w:fill="auto"/>
          </w:tcPr>
          <w:p w:rsidR="00EB79B9" w:rsidRPr="00061416" w:rsidRDefault="00EB79B9" w:rsidP="00EB79B9">
            <w:pPr>
              <w:spacing w:after="0"/>
              <w:ind w:left="709"/>
              <w:rPr>
                <w:sz w:val="20"/>
                <w:szCs w:val="20"/>
              </w:rPr>
            </w:pPr>
            <w:r w:rsidRPr="00061416">
              <w:rPr>
                <w:sz w:val="20"/>
                <w:szCs w:val="20"/>
              </w:rPr>
              <w:t>+3%</w:t>
            </w:r>
          </w:p>
        </w:tc>
        <w:tc>
          <w:tcPr>
            <w:tcW w:w="1526" w:type="dxa"/>
            <w:shd w:val="clear" w:color="auto" w:fill="auto"/>
          </w:tcPr>
          <w:p w:rsidR="00EB79B9" w:rsidRPr="00061416" w:rsidRDefault="00EB79B9" w:rsidP="00EB79B9">
            <w:pPr>
              <w:spacing w:after="0"/>
              <w:ind w:left="709"/>
              <w:rPr>
                <w:sz w:val="20"/>
                <w:szCs w:val="20"/>
              </w:rPr>
            </w:pPr>
            <w:r w:rsidRPr="00061416">
              <w:rPr>
                <w:sz w:val="20"/>
                <w:szCs w:val="20"/>
              </w:rPr>
              <w:t>-0.3%</w:t>
            </w:r>
          </w:p>
        </w:tc>
        <w:tc>
          <w:tcPr>
            <w:tcW w:w="1785" w:type="dxa"/>
            <w:shd w:val="clear" w:color="auto" w:fill="auto"/>
          </w:tcPr>
          <w:p w:rsidR="00EB79B9" w:rsidRPr="00061416" w:rsidRDefault="00EB79B9" w:rsidP="00EB79B9">
            <w:pPr>
              <w:spacing w:after="0"/>
              <w:ind w:left="709"/>
              <w:rPr>
                <w:sz w:val="20"/>
                <w:szCs w:val="20"/>
              </w:rPr>
            </w:pPr>
            <w:r w:rsidRPr="00061416">
              <w:rPr>
                <w:sz w:val="20"/>
                <w:szCs w:val="20"/>
              </w:rPr>
              <w:t>-0.4%</w:t>
            </w:r>
          </w:p>
        </w:tc>
        <w:tc>
          <w:tcPr>
            <w:tcW w:w="1302" w:type="dxa"/>
          </w:tcPr>
          <w:p w:rsidR="00EB79B9" w:rsidRPr="00061416" w:rsidRDefault="00711D9A" w:rsidP="00EB79B9">
            <w:pPr>
              <w:spacing w:after="0"/>
              <w:ind w:left="709"/>
              <w:rPr>
                <w:sz w:val="20"/>
                <w:szCs w:val="20"/>
              </w:rPr>
            </w:pPr>
            <w:r>
              <w:rPr>
                <w:sz w:val="20"/>
                <w:szCs w:val="20"/>
              </w:rPr>
              <w:t>+9.9%</w:t>
            </w:r>
          </w:p>
        </w:tc>
      </w:tr>
      <w:tr w:rsidR="00EB79B9" w:rsidRPr="00B7453A" w:rsidTr="00EB79B9">
        <w:tc>
          <w:tcPr>
            <w:tcW w:w="2360" w:type="dxa"/>
            <w:tcBorders>
              <w:right w:val="single" w:sz="6" w:space="0" w:color="000000"/>
            </w:tcBorders>
            <w:shd w:val="clear" w:color="auto" w:fill="auto"/>
          </w:tcPr>
          <w:p w:rsidR="00EB79B9" w:rsidRPr="00061416" w:rsidRDefault="00EB79B9" w:rsidP="00EB79B9">
            <w:pPr>
              <w:spacing w:after="0"/>
              <w:ind w:left="-11"/>
              <w:rPr>
                <w:sz w:val="20"/>
                <w:szCs w:val="20"/>
              </w:rPr>
            </w:pPr>
            <w:r w:rsidRPr="00061416">
              <w:rPr>
                <w:sz w:val="20"/>
                <w:szCs w:val="20"/>
              </w:rPr>
              <w:t>Outpatient Attendances</w:t>
            </w:r>
          </w:p>
        </w:tc>
        <w:tc>
          <w:tcPr>
            <w:tcW w:w="1786" w:type="dxa"/>
            <w:shd w:val="clear" w:color="auto" w:fill="auto"/>
          </w:tcPr>
          <w:p w:rsidR="00EB79B9" w:rsidRPr="00061416" w:rsidRDefault="00EB79B9" w:rsidP="00EB79B9">
            <w:pPr>
              <w:spacing w:after="0"/>
              <w:ind w:left="709"/>
              <w:rPr>
                <w:sz w:val="20"/>
                <w:szCs w:val="20"/>
              </w:rPr>
            </w:pPr>
            <w:r w:rsidRPr="00061416">
              <w:rPr>
                <w:sz w:val="20"/>
                <w:szCs w:val="20"/>
              </w:rPr>
              <w:t>+9%</w:t>
            </w:r>
          </w:p>
        </w:tc>
        <w:tc>
          <w:tcPr>
            <w:tcW w:w="1526" w:type="dxa"/>
            <w:shd w:val="clear" w:color="auto" w:fill="auto"/>
          </w:tcPr>
          <w:p w:rsidR="00EB79B9" w:rsidRPr="00061416" w:rsidRDefault="00EB79B9" w:rsidP="00EB79B9">
            <w:pPr>
              <w:spacing w:after="0"/>
              <w:ind w:left="498"/>
              <w:rPr>
                <w:sz w:val="20"/>
                <w:szCs w:val="20"/>
              </w:rPr>
            </w:pPr>
            <w:r w:rsidRPr="00061416">
              <w:rPr>
                <w:sz w:val="20"/>
                <w:szCs w:val="20"/>
              </w:rPr>
              <w:t>+18.0%</w:t>
            </w:r>
          </w:p>
        </w:tc>
        <w:tc>
          <w:tcPr>
            <w:tcW w:w="1785" w:type="dxa"/>
            <w:shd w:val="clear" w:color="auto" w:fill="auto"/>
          </w:tcPr>
          <w:p w:rsidR="00EB79B9" w:rsidRPr="00061416" w:rsidRDefault="00EB79B9" w:rsidP="00EB79B9">
            <w:pPr>
              <w:spacing w:after="0"/>
              <w:ind w:left="709"/>
              <w:rPr>
                <w:sz w:val="20"/>
                <w:szCs w:val="20"/>
              </w:rPr>
            </w:pPr>
            <w:r w:rsidRPr="00061416">
              <w:rPr>
                <w:sz w:val="20"/>
                <w:szCs w:val="20"/>
              </w:rPr>
              <w:t>+3.1%</w:t>
            </w:r>
          </w:p>
        </w:tc>
        <w:tc>
          <w:tcPr>
            <w:tcW w:w="1302" w:type="dxa"/>
          </w:tcPr>
          <w:p w:rsidR="00EB79B9" w:rsidRPr="00061416" w:rsidRDefault="00711D9A" w:rsidP="00EB79B9">
            <w:pPr>
              <w:spacing w:after="0"/>
              <w:ind w:left="709"/>
              <w:rPr>
                <w:sz w:val="20"/>
                <w:szCs w:val="20"/>
              </w:rPr>
            </w:pPr>
            <w:r>
              <w:rPr>
                <w:sz w:val="20"/>
                <w:szCs w:val="20"/>
              </w:rPr>
              <w:t>+2.6%</w:t>
            </w:r>
          </w:p>
        </w:tc>
      </w:tr>
      <w:tr w:rsidR="00EB79B9" w:rsidRPr="00B7453A" w:rsidTr="00EB79B9">
        <w:trPr>
          <w:trHeight w:val="392"/>
        </w:trPr>
        <w:tc>
          <w:tcPr>
            <w:tcW w:w="2360" w:type="dxa"/>
            <w:tcBorders>
              <w:top w:val="single" w:sz="6" w:space="0" w:color="000000"/>
              <w:right w:val="single" w:sz="6" w:space="0" w:color="000000"/>
            </w:tcBorders>
            <w:shd w:val="clear" w:color="auto" w:fill="auto"/>
            <w:vAlign w:val="center"/>
          </w:tcPr>
          <w:p w:rsidR="00EB79B9" w:rsidRPr="00061416" w:rsidRDefault="00EB79B9" w:rsidP="00EB79B9">
            <w:pPr>
              <w:spacing w:after="0"/>
              <w:ind w:left="-11"/>
              <w:rPr>
                <w:bCs/>
                <w:sz w:val="20"/>
                <w:szCs w:val="20"/>
              </w:rPr>
            </w:pPr>
            <w:r w:rsidRPr="00061416">
              <w:rPr>
                <w:bCs/>
                <w:sz w:val="20"/>
                <w:szCs w:val="20"/>
              </w:rPr>
              <w:t>Births (Year on Year)</w:t>
            </w:r>
          </w:p>
        </w:tc>
        <w:tc>
          <w:tcPr>
            <w:tcW w:w="1786" w:type="dxa"/>
            <w:tcBorders>
              <w:top w:val="single" w:sz="6" w:space="0" w:color="000000"/>
            </w:tcBorders>
            <w:shd w:val="clear" w:color="auto" w:fill="auto"/>
            <w:vAlign w:val="center"/>
          </w:tcPr>
          <w:p w:rsidR="00EB79B9" w:rsidRPr="00061416" w:rsidRDefault="00EB79B9" w:rsidP="00EB79B9">
            <w:pPr>
              <w:spacing w:after="0"/>
              <w:ind w:left="594"/>
              <w:rPr>
                <w:sz w:val="20"/>
                <w:szCs w:val="20"/>
              </w:rPr>
            </w:pPr>
            <w:r w:rsidRPr="00061416">
              <w:rPr>
                <w:sz w:val="20"/>
                <w:szCs w:val="20"/>
              </w:rPr>
              <w:t>+10%</w:t>
            </w:r>
          </w:p>
        </w:tc>
        <w:tc>
          <w:tcPr>
            <w:tcW w:w="1526" w:type="dxa"/>
            <w:tcBorders>
              <w:top w:val="single" w:sz="6" w:space="0" w:color="000000"/>
            </w:tcBorders>
            <w:shd w:val="clear" w:color="auto" w:fill="auto"/>
            <w:vAlign w:val="center"/>
          </w:tcPr>
          <w:p w:rsidR="00EB79B9" w:rsidRPr="00061416" w:rsidRDefault="00EB79B9" w:rsidP="00EB79B9">
            <w:pPr>
              <w:spacing w:after="0"/>
              <w:ind w:left="709"/>
              <w:rPr>
                <w:sz w:val="20"/>
                <w:szCs w:val="20"/>
              </w:rPr>
            </w:pPr>
            <w:r w:rsidRPr="00061416">
              <w:rPr>
                <w:sz w:val="20"/>
                <w:szCs w:val="20"/>
              </w:rPr>
              <w:t>+5.3%</w:t>
            </w:r>
          </w:p>
        </w:tc>
        <w:tc>
          <w:tcPr>
            <w:tcW w:w="1785" w:type="dxa"/>
            <w:tcBorders>
              <w:top w:val="single" w:sz="6" w:space="0" w:color="000000"/>
            </w:tcBorders>
            <w:shd w:val="clear" w:color="auto" w:fill="auto"/>
            <w:vAlign w:val="center"/>
          </w:tcPr>
          <w:p w:rsidR="00EB79B9" w:rsidRPr="00061416" w:rsidRDefault="00EB79B9" w:rsidP="00EB79B9">
            <w:pPr>
              <w:spacing w:after="0"/>
              <w:ind w:left="709"/>
              <w:rPr>
                <w:sz w:val="20"/>
                <w:szCs w:val="20"/>
              </w:rPr>
            </w:pPr>
            <w:r w:rsidRPr="00061416">
              <w:rPr>
                <w:sz w:val="20"/>
                <w:szCs w:val="20"/>
              </w:rPr>
              <w:t>+1.1%</w:t>
            </w:r>
          </w:p>
        </w:tc>
        <w:tc>
          <w:tcPr>
            <w:tcW w:w="1302" w:type="dxa"/>
            <w:tcBorders>
              <w:top w:val="single" w:sz="6" w:space="0" w:color="000000"/>
            </w:tcBorders>
          </w:tcPr>
          <w:p w:rsidR="00EB79B9" w:rsidRPr="00711D9A" w:rsidRDefault="00711D9A" w:rsidP="00EB79B9">
            <w:pPr>
              <w:spacing w:after="0"/>
              <w:ind w:left="709"/>
              <w:rPr>
                <w:sz w:val="20"/>
                <w:szCs w:val="20"/>
              </w:rPr>
            </w:pPr>
            <w:r w:rsidRPr="00711D9A">
              <w:rPr>
                <w:sz w:val="20"/>
                <w:szCs w:val="20"/>
              </w:rPr>
              <w:t>-1%</w:t>
            </w:r>
          </w:p>
        </w:tc>
      </w:tr>
    </w:tbl>
    <w:p w:rsidR="007623DE" w:rsidRPr="006E029D" w:rsidRDefault="007623DE" w:rsidP="007623DE">
      <w:pPr>
        <w:spacing w:before="40"/>
        <w:ind w:left="709"/>
        <w:rPr>
          <w:sz w:val="20"/>
          <w:szCs w:val="20"/>
        </w:rPr>
      </w:pPr>
      <w:r w:rsidRPr="003E0093">
        <w:rPr>
          <w:rStyle w:val="SubtleEmphasis"/>
        </w:rPr>
        <w:t>Sources:</w:t>
      </w:r>
      <w:r w:rsidR="00043ACD">
        <w:rPr>
          <w:rStyle w:val="SubtleEmphasis"/>
        </w:rPr>
        <w:t xml:space="preserve"> IHCA based on</w:t>
      </w:r>
      <w:r w:rsidRPr="003E0093">
        <w:rPr>
          <w:rStyle w:val="SubtleEmphasis"/>
        </w:rPr>
        <w:t xml:space="preserve"> HSE Performance Report</w:t>
      </w:r>
      <w:r w:rsidR="00EB79B9">
        <w:rPr>
          <w:rStyle w:val="SubtleEmphasis"/>
        </w:rPr>
        <w:t>s including the July 2010 Performance Report dated September 9</w:t>
      </w:r>
      <w:r w:rsidR="00EB79B9" w:rsidRPr="00EB79B9">
        <w:rPr>
          <w:rStyle w:val="SubtleEmphasis"/>
          <w:vertAlign w:val="superscript"/>
        </w:rPr>
        <w:t>th</w:t>
      </w:r>
      <w:r w:rsidR="00EB79B9">
        <w:rPr>
          <w:rStyle w:val="SubtleEmphasis"/>
        </w:rPr>
        <w:t>.</w:t>
      </w:r>
      <w:r w:rsidR="00061416">
        <w:rPr>
          <w:rStyle w:val="SubtleEmphasis"/>
        </w:rPr>
        <w:t xml:space="preserve"> (* 2010 figures based on July 2010 outcome compared with </w:t>
      </w:r>
      <w:r w:rsidR="00711D9A">
        <w:rPr>
          <w:rStyle w:val="SubtleEmphasis"/>
        </w:rPr>
        <w:t>Y</w:t>
      </w:r>
      <w:r w:rsidR="00061416">
        <w:rPr>
          <w:rStyle w:val="SubtleEmphasis"/>
        </w:rPr>
        <w:t>TD targets).</w:t>
      </w:r>
    </w:p>
    <w:p w:rsidR="00937590" w:rsidRDefault="00937590" w:rsidP="00937590">
      <w:pPr>
        <w:spacing w:after="0" w:line="240" w:lineRule="auto"/>
        <w:ind w:left="360"/>
        <w:jc w:val="both"/>
        <w:rPr>
          <w:sz w:val="16"/>
          <w:szCs w:val="16"/>
        </w:rPr>
      </w:pPr>
    </w:p>
    <w:p w:rsidR="00937590" w:rsidRDefault="00937590" w:rsidP="00937590">
      <w:pPr>
        <w:spacing w:after="0" w:line="240" w:lineRule="auto"/>
        <w:ind w:left="360"/>
        <w:jc w:val="both"/>
        <w:rPr>
          <w:sz w:val="16"/>
          <w:szCs w:val="16"/>
        </w:rPr>
      </w:pPr>
    </w:p>
    <w:p w:rsidR="00937590" w:rsidRDefault="00937590" w:rsidP="00937590">
      <w:pPr>
        <w:spacing w:after="0" w:line="240" w:lineRule="auto"/>
        <w:ind w:left="360"/>
        <w:jc w:val="both"/>
        <w:rPr>
          <w:sz w:val="16"/>
          <w:szCs w:val="16"/>
        </w:rPr>
      </w:pPr>
    </w:p>
    <w:p w:rsidR="00937590" w:rsidRPr="00937590" w:rsidRDefault="00937590" w:rsidP="00937590">
      <w:pPr>
        <w:spacing w:after="0" w:line="240" w:lineRule="auto"/>
        <w:ind w:left="360"/>
        <w:jc w:val="both"/>
        <w:rPr>
          <w:sz w:val="16"/>
          <w:szCs w:val="16"/>
        </w:rPr>
      </w:pPr>
    </w:p>
    <w:p w:rsidR="00937590" w:rsidRPr="00937590" w:rsidRDefault="00937590" w:rsidP="00937590">
      <w:pPr>
        <w:spacing w:after="0" w:line="240" w:lineRule="auto"/>
        <w:ind w:left="360"/>
        <w:jc w:val="both"/>
        <w:rPr>
          <w:sz w:val="16"/>
          <w:szCs w:val="16"/>
        </w:rPr>
      </w:pPr>
    </w:p>
    <w:p w:rsidR="00C758F0" w:rsidRDefault="007623DE" w:rsidP="00A21992">
      <w:pPr>
        <w:numPr>
          <w:ilvl w:val="0"/>
          <w:numId w:val="4"/>
        </w:numPr>
        <w:spacing w:after="0" w:line="240" w:lineRule="auto"/>
        <w:ind w:left="360"/>
        <w:jc w:val="both"/>
        <w:rPr>
          <w:sz w:val="16"/>
          <w:szCs w:val="16"/>
        </w:rPr>
      </w:pPr>
      <w:r>
        <w:t>Overall, the actual number of patients treated in public hospitals increased by an estimated 2.2% in 2009 compared with 2008, as outlined in the table below.</w:t>
      </w:r>
      <w:r w:rsidR="00E12423">
        <w:t xml:space="preserve">  The </w:t>
      </w:r>
      <w:r w:rsidR="004F594C">
        <w:t xml:space="preserve">July </w:t>
      </w:r>
      <w:r w:rsidR="00E12423">
        <w:t xml:space="preserve">2010 activity figures </w:t>
      </w:r>
      <w:r w:rsidR="004F594C">
        <w:t xml:space="preserve">below </w:t>
      </w:r>
      <w:r w:rsidR="00E12423">
        <w:t xml:space="preserve">confirm </w:t>
      </w:r>
      <w:r w:rsidR="00711D9A">
        <w:t xml:space="preserve">a 4.5% </w:t>
      </w:r>
      <w:r w:rsidR="00A21992">
        <w:t xml:space="preserve">or 123,199 increase </w:t>
      </w:r>
      <w:r w:rsidR="00711D9A">
        <w:t xml:space="preserve">in the number of </w:t>
      </w:r>
      <w:r w:rsidR="00A21992">
        <w:t xml:space="preserve">in-patient, day case, and out-patients </w:t>
      </w:r>
      <w:r w:rsidR="00711D9A">
        <w:t>treated</w:t>
      </w:r>
      <w:r w:rsidR="00A21992">
        <w:t xml:space="preserve"> in acute hospitals up to </w:t>
      </w:r>
      <w:r w:rsidR="00711D9A">
        <w:t>July</w:t>
      </w:r>
      <w:r w:rsidR="00A21992">
        <w:t xml:space="preserve"> 31</w:t>
      </w:r>
      <w:r w:rsidR="00A21992" w:rsidRPr="00A21992">
        <w:rPr>
          <w:vertAlign w:val="superscript"/>
        </w:rPr>
        <w:t>st</w:t>
      </w:r>
      <w:r w:rsidR="00A21992">
        <w:t xml:space="preserve"> compared with the same period in 2009</w:t>
      </w:r>
      <w:r w:rsidR="00711D9A">
        <w:t>.  This increase has occurred despite reduction</w:t>
      </w:r>
      <w:r w:rsidR="00FC6542">
        <w:t>s</w:t>
      </w:r>
      <w:r w:rsidR="00711D9A">
        <w:t xml:space="preserve"> in bed and other resources</w:t>
      </w:r>
      <w:r w:rsidR="00A21992">
        <w:t xml:space="preserve"> because of the population’s increased need for health services</w:t>
      </w:r>
      <w:r w:rsidR="00711D9A">
        <w:t>.</w:t>
      </w:r>
      <w:r w:rsidR="00C758F0">
        <w:t xml:space="preserve">  </w:t>
      </w:r>
    </w:p>
    <w:p w:rsidR="007F3DFE" w:rsidRDefault="007F3DFE" w:rsidP="00C758F0">
      <w:pPr>
        <w:spacing w:after="0" w:line="240" w:lineRule="auto"/>
        <w:jc w:val="both"/>
        <w:rPr>
          <w:sz w:val="16"/>
          <w:szCs w:val="16"/>
        </w:rPr>
      </w:pPr>
    </w:p>
    <w:p w:rsidR="007623DE" w:rsidRPr="00B7453A" w:rsidRDefault="009E4513" w:rsidP="007623DE">
      <w:pPr>
        <w:ind w:left="966"/>
      </w:pPr>
      <w:r>
        <w:rPr>
          <w:b/>
        </w:rPr>
        <w:t xml:space="preserve">Actual </w:t>
      </w:r>
      <w:r w:rsidR="007623DE">
        <w:rPr>
          <w:b/>
        </w:rPr>
        <w:t>Acute Hospital Activity</w:t>
      </w:r>
    </w:p>
    <w:tbl>
      <w:tblPr>
        <w:tblW w:w="8930" w:type="dxa"/>
        <w:tblInd w:w="817" w:type="dxa"/>
        <w:tblBorders>
          <w:top w:val="single" w:sz="12" w:space="0" w:color="000000"/>
          <w:bottom w:val="single" w:sz="12" w:space="0" w:color="000000"/>
        </w:tblBorders>
        <w:tblLayout w:type="fixed"/>
        <w:tblLook w:val="01E0"/>
      </w:tblPr>
      <w:tblGrid>
        <w:gridCol w:w="2126"/>
        <w:gridCol w:w="1276"/>
        <w:gridCol w:w="851"/>
        <w:gridCol w:w="425"/>
        <w:gridCol w:w="4252"/>
      </w:tblGrid>
      <w:tr w:rsidR="00AB0F2A" w:rsidRPr="00AB0F2A" w:rsidTr="00AB0F2A">
        <w:tc>
          <w:tcPr>
            <w:tcW w:w="2126" w:type="dxa"/>
            <w:tcBorders>
              <w:bottom w:val="single" w:sz="6" w:space="0" w:color="000000"/>
              <w:right w:val="single" w:sz="6" w:space="0" w:color="000000"/>
            </w:tcBorders>
            <w:shd w:val="clear" w:color="auto" w:fill="auto"/>
          </w:tcPr>
          <w:p w:rsidR="00AB0F2A" w:rsidRPr="00AB0F2A" w:rsidRDefault="00AB0F2A" w:rsidP="00EB79B9">
            <w:pPr>
              <w:spacing w:after="0"/>
              <w:ind w:left="-11"/>
              <w:rPr>
                <w:b/>
                <w:i/>
                <w:iCs/>
                <w:sz w:val="19"/>
                <w:szCs w:val="19"/>
              </w:rPr>
            </w:pPr>
          </w:p>
        </w:tc>
        <w:tc>
          <w:tcPr>
            <w:tcW w:w="1276" w:type="dxa"/>
            <w:tcBorders>
              <w:bottom w:val="single" w:sz="6" w:space="0" w:color="000000"/>
            </w:tcBorders>
            <w:shd w:val="clear" w:color="auto" w:fill="auto"/>
          </w:tcPr>
          <w:p w:rsidR="00AB0F2A" w:rsidRPr="00AB0F2A" w:rsidRDefault="00AB0F2A" w:rsidP="00083D63">
            <w:pPr>
              <w:spacing w:after="0"/>
              <w:ind w:left="709" w:hanging="675"/>
              <w:rPr>
                <w:b/>
                <w:i/>
                <w:iCs/>
                <w:sz w:val="19"/>
                <w:szCs w:val="19"/>
              </w:rPr>
            </w:pPr>
            <w:r w:rsidRPr="00AB0F2A">
              <w:rPr>
                <w:b/>
                <w:i/>
                <w:iCs/>
                <w:sz w:val="19"/>
                <w:szCs w:val="19"/>
              </w:rPr>
              <w:t>2008</w:t>
            </w:r>
          </w:p>
        </w:tc>
        <w:tc>
          <w:tcPr>
            <w:tcW w:w="851" w:type="dxa"/>
            <w:tcBorders>
              <w:bottom w:val="single" w:sz="6" w:space="0" w:color="000000"/>
            </w:tcBorders>
            <w:shd w:val="clear" w:color="auto" w:fill="auto"/>
          </w:tcPr>
          <w:p w:rsidR="00AB0F2A" w:rsidRPr="00AB0F2A" w:rsidRDefault="00AB0F2A" w:rsidP="00083D63">
            <w:pPr>
              <w:spacing w:after="0"/>
              <w:ind w:left="176" w:hanging="284"/>
              <w:rPr>
                <w:b/>
                <w:i/>
                <w:iCs/>
                <w:sz w:val="19"/>
                <w:szCs w:val="19"/>
              </w:rPr>
            </w:pPr>
            <w:r w:rsidRPr="00AB0F2A">
              <w:rPr>
                <w:b/>
                <w:i/>
                <w:iCs/>
                <w:sz w:val="19"/>
                <w:szCs w:val="19"/>
              </w:rPr>
              <w:tab/>
              <w:t>2009</w:t>
            </w:r>
          </w:p>
        </w:tc>
        <w:tc>
          <w:tcPr>
            <w:tcW w:w="4677" w:type="dxa"/>
            <w:gridSpan w:val="2"/>
            <w:tcBorders>
              <w:bottom w:val="single" w:sz="6" w:space="0" w:color="000000"/>
            </w:tcBorders>
            <w:shd w:val="clear" w:color="auto" w:fill="auto"/>
          </w:tcPr>
          <w:p w:rsidR="00AB0F2A" w:rsidRPr="00AB0F2A" w:rsidRDefault="00AB0F2A" w:rsidP="00AB0F2A">
            <w:pPr>
              <w:tabs>
                <w:tab w:val="left" w:pos="450"/>
                <w:tab w:val="left" w:pos="884"/>
                <w:tab w:val="left" w:pos="1735"/>
                <w:tab w:val="left" w:pos="2728"/>
              </w:tabs>
              <w:spacing w:after="0"/>
              <w:ind w:left="-250" w:right="-959" w:firstLine="142"/>
              <w:rPr>
                <w:b/>
                <w:i/>
                <w:iCs/>
                <w:sz w:val="19"/>
                <w:szCs w:val="19"/>
              </w:rPr>
            </w:pPr>
            <w:r w:rsidRPr="00AB0F2A">
              <w:rPr>
                <w:b/>
                <w:i/>
                <w:iCs/>
                <w:sz w:val="19"/>
                <w:szCs w:val="19"/>
              </w:rPr>
              <w:tab/>
              <w:t>Variance</w:t>
            </w:r>
            <w:r w:rsidRPr="00AB0F2A">
              <w:rPr>
                <w:b/>
                <w:i/>
                <w:iCs/>
                <w:sz w:val="19"/>
                <w:szCs w:val="19"/>
              </w:rPr>
              <w:tab/>
            </w:r>
            <w:r>
              <w:rPr>
                <w:b/>
                <w:i/>
                <w:iCs/>
                <w:sz w:val="19"/>
                <w:szCs w:val="19"/>
              </w:rPr>
              <w:t>July</w:t>
            </w:r>
            <w:r w:rsidRPr="00AB0F2A">
              <w:rPr>
                <w:b/>
                <w:i/>
                <w:iCs/>
                <w:sz w:val="19"/>
                <w:szCs w:val="19"/>
              </w:rPr>
              <w:tab/>
              <w:t>July</w:t>
            </w:r>
            <w:r w:rsidRPr="00AB0F2A">
              <w:rPr>
                <w:b/>
                <w:i/>
                <w:iCs/>
                <w:sz w:val="19"/>
                <w:szCs w:val="19"/>
              </w:rPr>
              <w:tab/>
              <w:t xml:space="preserve">Variance </w:t>
            </w:r>
          </w:p>
          <w:p w:rsidR="00AB0F2A" w:rsidRPr="00AB0F2A" w:rsidRDefault="00AB0F2A" w:rsidP="00AB0F2A">
            <w:pPr>
              <w:tabs>
                <w:tab w:val="left" w:pos="459"/>
                <w:tab w:val="left" w:pos="1735"/>
                <w:tab w:val="left" w:pos="2728"/>
              </w:tabs>
              <w:spacing w:after="0"/>
              <w:ind w:left="-250" w:firstLine="142"/>
              <w:rPr>
                <w:b/>
                <w:i/>
                <w:iCs/>
                <w:sz w:val="19"/>
                <w:szCs w:val="19"/>
              </w:rPr>
            </w:pPr>
            <w:r w:rsidRPr="00AB0F2A">
              <w:rPr>
                <w:b/>
                <w:i/>
                <w:iCs/>
                <w:sz w:val="19"/>
                <w:szCs w:val="19"/>
              </w:rPr>
              <w:tab/>
              <w:t>09/08</w:t>
            </w:r>
            <w:r w:rsidRPr="00AB0F2A">
              <w:rPr>
                <w:b/>
                <w:i/>
                <w:iCs/>
                <w:sz w:val="19"/>
                <w:szCs w:val="19"/>
              </w:rPr>
              <w:tab/>
              <w:t>2009</w:t>
            </w:r>
            <w:r w:rsidRPr="00AB0F2A">
              <w:rPr>
                <w:b/>
                <w:i/>
                <w:iCs/>
                <w:sz w:val="19"/>
                <w:szCs w:val="19"/>
              </w:rPr>
              <w:tab/>
              <w:t>2010</w:t>
            </w:r>
            <w:r w:rsidRPr="00AB0F2A">
              <w:rPr>
                <w:b/>
                <w:i/>
                <w:iCs/>
                <w:sz w:val="19"/>
                <w:szCs w:val="19"/>
              </w:rPr>
              <w:tab/>
              <w:t>10/09</w:t>
            </w:r>
          </w:p>
        </w:tc>
      </w:tr>
      <w:tr w:rsidR="00AB0F2A" w:rsidRPr="00B7453A"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r w:rsidRPr="00AB0F2A">
              <w:rPr>
                <w:sz w:val="19"/>
                <w:szCs w:val="19"/>
              </w:rPr>
              <w:t>In-Patient Discharges</w:t>
            </w:r>
          </w:p>
        </w:tc>
        <w:tc>
          <w:tcPr>
            <w:tcW w:w="1276" w:type="dxa"/>
            <w:tcBorders>
              <w:bottom w:val="nil"/>
            </w:tcBorders>
            <w:shd w:val="clear" w:color="auto" w:fill="auto"/>
          </w:tcPr>
          <w:p w:rsidR="00AB0F2A" w:rsidRPr="00AB0F2A" w:rsidRDefault="00AB0F2A" w:rsidP="00083D63">
            <w:pPr>
              <w:spacing w:after="0"/>
              <w:ind w:left="34"/>
              <w:rPr>
                <w:sz w:val="19"/>
                <w:szCs w:val="19"/>
              </w:rPr>
            </w:pPr>
            <w:r w:rsidRPr="00AB0F2A">
              <w:rPr>
                <w:sz w:val="19"/>
                <w:szCs w:val="19"/>
              </w:rPr>
              <w:t xml:space="preserve">    601,134</w:t>
            </w:r>
          </w:p>
        </w:tc>
        <w:tc>
          <w:tcPr>
            <w:tcW w:w="1276" w:type="dxa"/>
            <w:gridSpan w:val="2"/>
            <w:tcBorders>
              <w:bottom w:val="nil"/>
            </w:tcBorders>
            <w:shd w:val="clear" w:color="auto" w:fill="auto"/>
          </w:tcPr>
          <w:p w:rsidR="00AB0F2A" w:rsidRPr="00AB0F2A" w:rsidRDefault="00AB0F2A" w:rsidP="00083D63">
            <w:pPr>
              <w:spacing w:after="0"/>
              <w:ind w:left="176"/>
              <w:rPr>
                <w:sz w:val="19"/>
                <w:szCs w:val="19"/>
              </w:rPr>
            </w:pPr>
            <w:r w:rsidRPr="00AB0F2A">
              <w:rPr>
                <w:sz w:val="19"/>
                <w:szCs w:val="19"/>
              </w:rPr>
              <w:t>593,359</w:t>
            </w:r>
          </w:p>
        </w:tc>
        <w:tc>
          <w:tcPr>
            <w:tcW w:w="4252" w:type="dxa"/>
            <w:tcBorders>
              <w:bottom w:val="nil"/>
            </w:tcBorders>
            <w:shd w:val="clear" w:color="auto" w:fill="auto"/>
          </w:tcPr>
          <w:p w:rsidR="00AB0F2A" w:rsidRPr="00AB0F2A" w:rsidRDefault="00AB0F2A" w:rsidP="00AB0F2A">
            <w:pPr>
              <w:tabs>
                <w:tab w:val="left" w:pos="884"/>
                <w:tab w:val="left" w:pos="1168"/>
                <w:tab w:val="left" w:pos="2160"/>
                <w:tab w:val="left" w:pos="3152"/>
              </w:tabs>
              <w:spacing w:after="0"/>
              <w:rPr>
                <w:sz w:val="19"/>
                <w:szCs w:val="19"/>
              </w:rPr>
            </w:pPr>
            <w:r w:rsidRPr="00AB0F2A">
              <w:rPr>
                <w:sz w:val="19"/>
                <w:szCs w:val="19"/>
              </w:rPr>
              <w:t>-1.3%</w:t>
            </w:r>
            <w:r w:rsidRPr="00AB0F2A">
              <w:rPr>
                <w:sz w:val="19"/>
                <w:szCs w:val="19"/>
              </w:rPr>
              <w:tab/>
            </w:r>
            <w:r w:rsidRPr="00AB0F2A">
              <w:rPr>
                <w:sz w:val="19"/>
                <w:szCs w:val="19"/>
              </w:rPr>
              <w:tab/>
              <w:t>349,587</w:t>
            </w:r>
            <w:r w:rsidRPr="00AB0F2A">
              <w:rPr>
                <w:sz w:val="19"/>
                <w:szCs w:val="19"/>
              </w:rPr>
              <w:tab/>
              <w:t>343,009</w:t>
            </w:r>
            <w:r w:rsidRPr="00AB0F2A">
              <w:rPr>
                <w:sz w:val="19"/>
                <w:szCs w:val="19"/>
              </w:rPr>
              <w:tab/>
              <w:t>-1.9%</w:t>
            </w:r>
            <w:r w:rsidRPr="00AB0F2A">
              <w:rPr>
                <w:sz w:val="19"/>
                <w:szCs w:val="19"/>
              </w:rPr>
              <w:tab/>
            </w:r>
          </w:p>
        </w:tc>
      </w:tr>
      <w:tr w:rsidR="00AB0F2A" w:rsidRPr="00B7453A"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r w:rsidRPr="00AB0F2A">
              <w:rPr>
                <w:sz w:val="19"/>
                <w:szCs w:val="19"/>
              </w:rPr>
              <w:t>Day cases</w:t>
            </w:r>
          </w:p>
        </w:tc>
        <w:tc>
          <w:tcPr>
            <w:tcW w:w="1276" w:type="dxa"/>
            <w:tcBorders>
              <w:top w:val="nil"/>
              <w:bottom w:val="single" w:sz="4" w:space="0" w:color="auto"/>
            </w:tcBorders>
            <w:shd w:val="clear" w:color="auto" w:fill="auto"/>
          </w:tcPr>
          <w:p w:rsidR="00AB0F2A" w:rsidRPr="00AB0F2A" w:rsidRDefault="00AB0F2A" w:rsidP="00083D63">
            <w:pPr>
              <w:spacing w:after="0"/>
              <w:ind w:left="34"/>
              <w:rPr>
                <w:sz w:val="19"/>
                <w:szCs w:val="19"/>
              </w:rPr>
            </w:pPr>
            <w:r w:rsidRPr="00AB0F2A">
              <w:rPr>
                <w:sz w:val="19"/>
                <w:szCs w:val="19"/>
              </w:rPr>
              <w:t xml:space="preserve">    629,758</w:t>
            </w:r>
          </w:p>
        </w:tc>
        <w:tc>
          <w:tcPr>
            <w:tcW w:w="1276" w:type="dxa"/>
            <w:gridSpan w:val="2"/>
            <w:tcBorders>
              <w:top w:val="nil"/>
              <w:bottom w:val="single" w:sz="4" w:space="0" w:color="auto"/>
            </w:tcBorders>
            <w:shd w:val="clear" w:color="auto" w:fill="auto"/>
          </w:tcPr>
          <w:p w:rsidR="00AB0F2A" w:rsidRPr="00AB0F2A" w:rsidRDefault="00AB0F2A" w:rsidP="00083D63">
            <w:pPr>
              <w:spacing w:after="0"/>
              <w:ind w:left="176"/>
              <w:rPr>
                <w:sz w:val="19"/>
                <w:szCs w:val="19"/>
              </w:rPr>
            </w:pPr>
            <w:r w:rsidRPr="00AB0F2A">
              <w:rPr>
                <w:sz w:val="19"/>
                <w:szCs w:val="19"/>
              </w:rPr>
              <w:t>674,949</w:t>
            </w:r>
          </w:p>
        </w:tc>
        <w:tc>
          <w:tcPr>
            <w:tcW w:w="4252" w:type="dxa"/>
            <w:tcBorders>
              <w:top w:val="nil"/>
              <w:bottom w:val="single" w:sz="4" w:space="0" w:color="auto"/>
            </w:tcBorders>
            <w:shd w:val="clear" w:color="auto" w:fill="auto"/>
          </w:tcPr>
          <w:p w:rsidR="00AB0F2A" w:rsidRPr="00AB0F2A" w:rsidRDefault="00AB0F2A" w:rsidP="00AB0F2A">
            <w:pPr>
              <w:tabs>
                <w:tab w:val="left" w:pos="1168"/>
                <w:tab w:val="left" w:pos="2160"/>
                <w:tab w:val="left" w:pos="3152"/>
              </w:tabs>
              <w:spacing w:after="0"/>
              <w:rPr>
                <w:sz w:val="19"/>
                <w:szCs w:val="19"/>
              </w:rPr>
            </w:pPr>
            <w:r w:rsidRPr="00AB0F2A">
              <w:rPr>
                <w:sz w:val="19"/>
                <w:szCs w:val="19"/>
              </w:rPr>
              <w:t>+7.2%</w:t>
            </w:r>
            <w:r w:rsidRPr="00AB0F2A">
              <w:rPr>
                <w:sz w:val="19"/>
                <w:szCs w:val="19"/>
              </w:rPr>
              <w:tab/>
              <w:t>388,911</w:t>
            </w:r>
            <w:r w:rsidRPr="00AB0F2A">
              <w:rPr>
                <w:sz w:val="19"/>
                <w:szCs w:val="19"/>
              </w:rPr>
              <w:tab/>
              <w:t>427,723</w:t>
            </w:r>
            <w:r w:rsidRPr="00AB0F2A">
              <w:rPr>
                <w:sz w:val="19"/>
                <w:szCs w:val="19"/>
              </w:rPr>
              <w:tab/>
              <w:t>+10%</w:t>
            </w:r>
          </w:p>
        </w:tc>
      </w:tr>
      <w:tr w:rsidR="00AB0F2A" w:rsidRPr="00AA320B" w:rsidTr="00AB0F2A">
        <w:tc>
          <w:tcPr>
            <w:tcW w:w="2126" w:type="dxa"/>
            <w:tcBorders>
              <w:right w:val="single" w:sz="6" w:space="0" w:color="000000"/>
            </w:tcBorders>
            <w:shd w:val="clear" w:color="auto" w:fill="auto"/>
          </w:tcPr>
          <w:p w:rsidR="00AB0F2A" w:rsidRPr="00AB0F2A" w:rsidRDefault="00AB0F2A" w:rsidP="00EB79B9">
            <w:pPr>
              <w:spacing w:after="0"/>
              <w:ind w:left="-11"/>
              <w:rPr>
                <w:i/>
                <w:sz w:val="19"/>
                <w:szCs w:val="19"/>
              </w:rPr>
            </w:pPr>
            <w:r w:rsidRPr="00AB0F2A">
              <w:rPr>
                <w:i/>
                <w:sz w:val="19"/>
                <w:szCs w:val="19"/>
              </w:rPr>
              <w:t>Sub-Total</w:t>
            </w:r>
          </w:p>
        </w:tc>
        <w:tc>
          <w:tcPr>
            <w:tcW w:w="1276" w:type="dxa"/>
            <w:tcBorders>
              <w:top w:val="single" w:sz="4" w:space="0" w:color="auto"/>
            </w:tcBorders>
            <w:shd w:val="clear" w:color="auto" w:fill="auto"/>
          </w:tcPr>
          <w:p w:rsidR="00AB0F2A" w:rsidRPr="00AB0F2A" w:rsidRDefault="00AB0F2A" w:rsidP="00083D63">
            <w:pPr>
              <w:spacing w:after="0"/>
              <w:rPr>
                <w:i/>
                <w:sz w:val="19"/>
                <w:szCs w:val="19"/>
              </w:rPr>
            </w:pPr>
            <w:r w:rsidRPr="00AB0F2A">
              <w:rPr>
                <w:i/>
                <w:sz w:val="19"/>
                <w:szCs w:val="19"/>
              </w:rPr>
              <w:t xml:space="preserve"> 1,230,892</w:t>
            </w:r>
          </w:p>
        </w:tc>
        <w:tc>
          <w:tcPr>
            <w:tcW w:w="1276" w:type="dxa"/>
            <w:gridSpan w:val="2"/>
            <w:tcBorders>
              <w:top w:val="single" w:sz="4" w:space="0" w:color="auto"/>
            </w:tcBorders>
            <w:shd w:val="clear" w:color="auto" w:fill="auto"/>
          </w:tcPr>
          <w:p w:rsidR="00AB0F2A" w:rsidRPr="00AB0F2A" w:rsidRDefault="00AB0F2A" w:rsidP="00083D63">
            <w:pPr>
              <w:tabs>
                <w:tab w:val="left" w:pos="176"/>
              </w:tabs>
              <w:spacing w:after="0"/>
              <w:rPr>
                <w:i/>
                <w:sz w:val="19"/>
                <w:szCs w:val="19"/>
              </w:rPr>
            </w:pPr>
            <w:r w:rsidRPr="00AB0F2A">
              <w:rPr>
                <w:i/>
                <w:sz w:val="19"/>
                <w:szCs w:val="19"/>
              </w:rPr>
              <w:t xml:space="preserve"> 1,268,308</w:t>
            </w:r>
          </w:p>
        </w:tc>
        <w:tc>
          <w:tcPr>
            <w:tcW w:w="4252" w:type="dxa"/>
            <w:tcBorders>
              <w:top w:val="single" w:sz="4" w:space="0" w:color="auto"/>
            </w:tcBorders>
            <w:shd w:val="clear" w:color="auto" w:fill="auto"/>
          </w:tcPr>
          <w:p w:rsidR="00AB0F2A" w:rsidRPr="00AB0F2A" w:rsidRDefault="00AB0F2A" w:rsidP="00AB0F2A">
            <w:pPr>
              <w:tabs>
                <w:tab w:val="left" w:pos="1168"/>
                <w:tab w:val="left" w:pos="2160"/>
                <w:tab w:val="left" w:pos="3152"/>
              </w:tabs>
              <w:spacing w:after="0"/>
              <w:rPr>
                <w:i/>
                <w:sz w:val="19"/>
                <w:szCs w:val="19"/>
              </w:rPr>
            </w:pPr>
            <w:r w:rsidRPr="00AB0F2A">
              <w:rPr>
                <w:i/>
                <w:sz w:val="19"/>
                <w:szCs w:val="19"/>
              </w:rPr>
              <w:t>+ 3.0%</w:t>
            </w:r>
            <w:r w:rsidRPr="00AB0F2A">
              <w:rPr>
                <w:i/>
                <w:sz w:val="19"/>
                <w:szCs w:val="19"/>
              </w:rPr>
              <w:tab/>
              <w:t>738,498</w:t>
            </w:r>
            <w:r w:rsidRPr="00AB0F2A">
              <w:rPr>
                <w:i/>
                <w:sz w:val="19"/>
                <w:szCs w:val="19"/>
              </w:rPr>
              <w:tab/>
              <w:t>770,732</w:t>
            </w:r>
            <w:r w:rsidRPr="00AB0F2A">
              <w:rPr>
                <w:i/>
                <w:sz w:val="19"/>
                <w:szCs w:val="19"/>
              </w:rPr>
              <w:tab/>
              <w:t>+4.4%</w:t>
            </w:r>
          </w:p>
        </w:tc>
      </w:tr>
      <w:tr w:rsidR="00AB0F2A" w:rsidRPr="00796F3B"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p>
        </w:tc>
        <w:tc>
          <w:tcPr>
            <w:tcW w:w="1276" w:type="dxa"/>
            <w:shd w:val="clear" w:color="auto" w:fill="auto"/>
          </w:tcPr>
          <w:p w:rsidR="00AB0F2A" w:rsidRPr="00AB0F2A" w:rsidRDefault="00AB0F2A" w:rsidP="00EB79B9">
            <w:pPr>
              <w:spacing w:after="0"/>
              <w:ind w:left="709"/>
              <w:rPr>
                <w:sz w:val="19"/>
                <w:szCs w:val="19"/>
              </w:rPr>
            </w:pPr>
          </w:p>
        </w:tc>
        <w:tc>
          <w:tcPr>
            <w:tcW w:w="1276" w:type="dxa"/>
            <w:gridSpan w:val="2"/>
            <w:shd w:val="clear" w:color="auto" w:fill="auto"/>
          </w:tcPr>
          <w:p w:rsidR="00AB0F2A" w:rsidRPr="00AB0F2A" w:rsidRDefault="00AB0F2A" w:rsidP="00EB79B9">
            <w:pPr>
              <w:spacing w:after="0"/>
              <w:ind w:left="709"/>
              <w:rPr>
                <w:sz w:val="19"/>
                <w:szCs w:val="19"/>
              </w:rPr>
            </w:pPr>
          </w:p>
        </w:tc>
        <w:tc>
          <w:tcPr>
            <w:tcW w:w="4252" w:type="dxa"/>
            <w:shd w:val="clear" w:color="auto" w:fill="auto"/>
          </w:tcPr>
          <w:p w:rsidR="00AB0F2A" w:rsidRPr="00AB0F2A" w:rsidRDefault="00AB0F2A" w:rsidP="00EB79B9">
            <w:pPr>
              <w:spacing w:after="0"/>
              <w:ind w:left="709"/>
              <w:rPr>
                <w:sz w:val="19"/>
                <w:szCs w:val="19"/>
              </w:rPr>
            </w:pPr>
          </w:p>
        </w:tc>
      </w:tr>
      <w:tr w:rsidR="00AB0F2A" w:rsidRPr="00B7453A"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r w:rsidRPr="00AB0F2A">
              <w:rPr>
                <w:sz w:val="19"/>
                <w:szCs w:val="19"/>
              </w:rPr>
              <w:t>Out-patients</w:t>
            </w:r>
          </w:p>
        </w:tc>
        <w:tc>
          <w:tcPr>
            <w:tcW w:w="1276" w:type="dxa"/>
            <w:shd w:val="clear" w:color="auto" w:fill="auto"/>
          </w:tcPr>
          <w:p w:rsidR="00AB0F2A" w:rsidRPr="00AB0F2A" w:rsidRDefault="00AB0F2A" w:rsidP="00083D63">
            <w:pPr>
              <w:spacing w:after="0"/>
              <w:rPr>
                <w:sz w:val="19"/>
                <w:szCs w:val="19"/>
              </w:rPr>
            </w:pPr>
            <w:r w:rsidRPr="00AB0F2A">
              <w:rPr>
                <w:sz w:val="19"/>
                <w:szCs w:val="19"/>
              </w:rPr>
              <w:t xml:space="preserve"> 3,271,665</w:t>
            </w:r>
          </w:p>
        </w:tc>
        <w:tc>
          <w:tcPr>
            <w:tcW w:w="1276" w:type="dxa"/>
            <w:gridSpan w:val="2"/>
            <w:shd w:val="clear" w:color="auto" w:fill="auto"/>
          </w:tcPr>
          <w:p w:rsidR="00AB0F2A" w:rsidRPr="00AB0F2A" w:rsidRDefault="00AB0F2A" w:rsidP="00083D63">
            <w:pPr>
              <w:spacing w:after="0"/>
              <w:rPr>
                <w:sz w:val="19"/>
                <w:szCs w:val="19"/>
              </w:rPr>
            </w:pPr>
            <w:r w:rsidRPr="00AB0F2A">
              <w:rPr>
                <w:sz w:val="19"/>
                <w:szCs w:val="19"/>
              </w:rPr>
              <w:t xml:space="preserve"> 3,334,585</w:t>
            </w:r>
          </w:p>
        </w:tc>
        <w:tc>
          <w:tcPr>
            <w:tcW w:w="4252" w:type="dxa"/>
            <w:shd w:val="clear" w:color="auto" w:fill="auto"/>
          </w:tcPr>
          <w:p w:rsidR="00AB0F2A" w:rsidRPr="00AB0F2A" w:rsidRDefault="00AB0F2A" w:rsidP="00AB0F2A">
            <w:pPr>
              <w:tabs>
                <w:tab w:val="left" w:pos="1168"/>
                <w:tab w:val="left" w:pos="2160"/>
                <w:tab w:val="left" w:pos="3152"/>
              </w:tabs>
              <w:spacing w:after="0"/>
              <w:rPr>
                <w:sz w:val="19"/>
                <w:szCs w:val="19"/>
              </w:rPr>
            </w:pPr>
            <w:r w:rsidRPr="00AB0F2A">
              <w:rPr>
                <w:sz w:val="19"/>
                <w:szCs w:val="19"/>
              </w:rPr>
              <w:t xml:space="preserve">+1.9%           </w:t>
            </w:r>
            <w:r>
              <w:rPr>
                <w:sz w:val="19"/>
                <w:szCs w:val="19"/>
              </w:rPr>
              <w:t xml:space="preserve"> </w:t>
            </w:r>
            <w:r w:rsidRPr="00AB0F2A">
              <w:rPr>
                <w:sz w:val="19"/>
                <w:szCs w:val="19"/>
              </w:rPr>
              <w:t xml:space="preserve"> 1,986,299   </w:t>
            </w:r>
            <w:r>
              <w:rPr>
                <w:sz w:val="19"/>
                <w:szCs w:val="19"/>
              </w:rPr>
              <w:t xml:space="preserve">  </w:t>
            </w:r>
            <w:r w:rsidRPr="00AB0F2A">
              <w:rPr>
                <w:sz w:val="19"/>
                <w:szCs w:val="19"/>
              </w:rPr>
              <w:t xml:space="preserve"> 2,077,684</w:t>
            </w:r>
            <w:r w:rsidRPr="00AB0F2A">
              <w:rPr>
                <w:sz w:val="19"/>
                <w:szCs w:val="19"/>
              </w:rPr>
              <w:tab/>
              <w:t>+4.6%</w:t>
            </w:r>
          </w:p>
        </w:tc>
      </w:tr>
      <w:tr w:rsidR="00AB0F2A" w:rsidRPr="00796F3B"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p>
        </w:tc>
        <w:tc>
          <w:tcPr>
            <w:tcW w:w="1276" w:type="dxa"/>
            <w:shd w:val="clear" w:color="auto" w:fill="auto"/>
          </w:tcPr>
          <w:p w:rsidR="00AB0F2A" w:rsidRPr="00AB0F2A" w:rsidRDefault="00AB0F2A" w:rsidP="00EB79B9">
            <w:pPr>
              <w:spacing w:after="0"/>
              <w:ind w:left="709"/>
              <w:rPr>
                <w:sz w:val="19"/>
                <w:szCs w:val="19"/>
              </w:rPr>
            </w:pPr>
          </w:p>
        </w:tc>
        <w:tc>
          <w:tcPr>
            <w:tcW w:w="1276" w:type="dxa"/>
            <w:gridSpan w:val="2"/>
            <w:shd w:val="clear" w:color="auto" w:fill="auto"/>
          </w:tcPr>
          <w:p w:rsidR="00AB0F2A" w:rsidRPr="00AB0F2A" w:rsidRDefault="00AB0F2A" w:rsidP="00EB79B9">
            <w:pPr>
              <w:spacing w:after="0"/>
              <w:ind w:left="498"/>
              <w:rPr>
                <w:sz w:val="19"/>
                <w:szCs w:val="19"/>
              </w:rPr>
            </w:pPr>
          </w:p>
        </w:tc>
        <w:tc>
          <w:tcPr>
            <w:tcW w:w="4252" w:type="dxa"/>
            <w:shd w:val="clear" w:color="auto" w:fill="auto"/>
          </w:tcPr>
          <w:p w:rsidR="00AB0F2A" w:rsidRPr="00AB0F2A" w:rsidRDefault="00AB0F2A" w:rsidP="00EB79B9">
            <w:pPr>
              <w:spacing w:after="0"/>
              <w:ind w:left="709"/>
              <w:rPr>
                <w:sz w:val="19"/>
                <w:szCs w:val="19"/>
              </w:rPr>
            </w:pPr>
          </w:p>
        </w:tc>
      </w:tr>
      <w:tr w:rsidR="00AB0F2A" w:rsidRPr="00B7453A" w:rsidTr="00AB0F2A">
        <w:tc>
          <w:tcPr>
            <w:tcW w:w="2126" w:type="dxa"/>
            <w:tcBorders>
              <w:right w:val="single" w:sz="6" w:space="0" w:color="000000"/>
            </w:tcBorders>
            <w:shd w:val="clear" w:color="auto" w:fill="auto"/>
          </w:tcPr>
          <w:p w:rsidR="00AB0F2A" w:rsidRPr="00AB0F2A" w:rsidRDefault="00AB0F2A" w:rsidP="00EB79B9">
            <w:pPr>
              <w:spacing w:after="0"/>
              <w:ind w:left="-11"/>
              <w:rPr>
                <w:sz w:val="19"/>
                <w:szCs w:val="19"/>
              </w:rPr>
            </w:pPr>
            <w:r w:rsidRPr="00AB0F2A">
              <w:rPr>
                <w:sz w:val="19"/>
                <w:szCs w:val="19"/>
              </w:rPr>
              <w:t>Births</w:t>
            </w:r>
          </w:p>
        </w:tc>
        <w:tc>
          <w:tcPr>
            <w:tcW w:w="1276" w:type="dxa"/>
            <w:shd w:val="clear" w:color="auto" w:fill="auto"/>
          </w:tcPr>
          <w:p w:rsidR="00AB0F2A" w:rsidRPr="00AB0F2A" w:rsidRDefault="00AB0F2A" w:rsidP="00083D63">
            <w:pPr>
              <w:spacing w:after="0"/>
              <w:rPr>
                <w:sz w:val="19"/>
                <w:szCs w:val="19"/>
              </w:rPr>
            </w:pPr>
            <w:r w:rsidRPr="00AB0F2A">
              <w:rPr>
                <w:sz w:val="19"/>
                <w:szCs w:val="19"/>
              </w:rPr>
              <w:t xml:space="preserve">       73,815</w:t>
            </w:r>
          </w:p>
        </w:tc>
        <w:tc>
          <w:tcPr>
            <w:tcW w:w="1276" w:type="dxa"/>
            <w:gridSpan w:val="2"/>
            <w:shd w:val="clear" w:color="auto" w:fill="auto"/>
          </w:tcPr>
          <w:p w:rsidR="00AB0F2A" w:rsidRPr="00AB0F2A" w:rsidRDefault="00AB0F2A" w:rsidP="00083D63">
            <w:pPr>
              <w:spacing w:after="0"/>
              <w:rPr>
                <w:sz w:val="19"/>
                <w:szCs w:val="19"/>
              </w:rPr>
            </w:pPr>
            <w:r w:rsidRPr="00AB0F2A">
              <w:rPr>
                <w:sz w:val="19"/>
                <w:szCs w:val="19"/>
              </w:rPr>
              <w:t xml:space="preserve">      74,602</w:t>
            </w:r>
          </w:p>
        </w:tc>
        <w:tc>
          <w:tcPr>
            <w:tcW w:w="4252" w:type="dxa"/>
            <w:shd w:val="clear" w:color="auto" w:fill="auto"/>
          </w:tcPr>
          <w:p w:rsidR="00AB0F2A" w:rsidRPr="00AB0F2A" w:rsidRDefault="00AB0F2A" w:rsidP="00AB0F2A">
            <w:pPr>
              <w:tabs>
                <w:tab w:val="left" w:pos="1026"/>
                <w:tab w:val="left" w:pos="1876"/>
                <w:tab w:val="left" w:pos="3152"/>
              </w:tabs>
              <w:spacing w:after="0"/>
              <w:rPr>
                <w:sz w:val="19"/>
                <w:szCs w:val="19"/>
              </w:rPr>
            </w:pPr>
            <w:r w:rsidRPr="00AB0F2A">
              <w:rPr>
                <w:sz w:val="19"/>
                <w:szCs w:val="19"/>
              </w:rPr>
              <w:t>+1.1%</w:t>
            </w:r>
            <w:r>
              <w:rPr>
                <w:sz w:val="19"/>
                <w:szCs w:val="19"/>
              </w:rPr>
              <w:tab/>
              <w:t xml:space="preserve">      43,197</w:t>
            </w:r>
            <w:r>
              <w:rPr>
                <w:sz w:val="19"/>
                <w:szCs w:val="19"/>
              </w:rPr>
              <w:tab/>
              <w:t xml:space="preserve">          42,777</w:t>
            </w:r>
            <w:r>
              <w:rPr>
                <w:sz w:val="19"/>
                <w:szCs w:val="19"/>
              </w:rPr>
              <w:tab/>
              <w:t xml:space="preserve">     -1%</w:t>
            </w:r>
          </w:p>
        </w:tc>
      </w:tr>
      <w:tr w:rsidR="00AB0F2A" w:rsidRPr="00B7453A" w:rsidTr="00AB0F2A">
        <w:trPr>
          <w:trHeight w:val="269"/>
        </w:trPr>
        <w:tc>
          <w:tcPr>
            <w:tcW w:w="2126" w:type="dxa"/>
            <w:tcBorders>
              <w:top w:val="single" w:sz="6" w:space="0" w:color="000000"/>
              <w:right w:val="single" w:sz="6" w:space="0" w:color="000000"/>
            </w:tcBorders>
            <w:shd w:val="clear" w:color="auto" w:fill="auto"/>
            <w:vAlign w:val="center"/>
          </w:tcPr>
          <w:p w:rsidR="00AB0F2A" w:rsidRPr="00AB0F2A" w:rsidRDefault="00AB0F2A" w:rsidP="00EB79B9">
            <w:pPr>
              <w:spacing w:after="0"/>
              <w:ind w:left="-11"/>
              <w:rPr>
                <w:bCs/>
                <w:sz w:val="19"/>
                <w:szCs w:val="19"/>
              </w:rPr>
            </w:pPr>
            <w:r w:rsidRPr="00AB0F2A">
              <w:rPr>
                <w:bCs/>
                <w:sz w:val="19"/>
                <w:szCs w:val="19"/>
              </w:rPr>
              <w:t>Overall Total</w:t>
            </w:r>
          </w:p>
        </w:tc>
        <w:tc>
          <w:tcPr>
            <w:tcW w:w="1276" w:type="dxa"/>
            <w:tcBorders>
              <w:top w:val="single" w:sz="6" w:space="0" w:color="000000"/>
            </w:tcBorders>
            <w:shd w:val="clear" w:color="auto" w:fill="auto"/>
            <w:vAlign w:val="center"/>
          </w:tcPr>
          <w:p w:rsidR="00AB0F2A" w:rsidRPr="00AB0F2A" w:rsidRDefault="00AB0F2A" w:rsidP="00083D63">
            <w:pPr>
              <w:spacing w:after="0"/>
              <w:rPr>
                <w:b/>
                <w:sz w:val="19"/>
                <w:szCs w:val="19"/>
              </w:rPr>
            </w:pPr>
            <w:r w:rsidRPr="00AB0F2A">
              <w:rPr>
                <w:b/>
                <w:sz w:val="19"/>
                <w:szCs w:val="19"/>
              </w:rPr>
              <w:t xml:space="preserve">  4,576,372</w:t>
            </w:r>
          </w:p>
        </w:tc>
        <w:tc>
          <w:tcPr>
            <w:tcW w:w="1276" w:type="dxa"/>
            <w:gridSpan w:val="2"/>
            <w:tcBorders>
              <w:top w:val="single" w:sz="6" w:space="0" w:color="000000"/>
            </w:tcBorders>
            <w:shd w:val="clear" w:color="auto" w:fill="auto"/>
            <w:vAlign w:val="center"/>
          </w:tcPr>
          <w:p w:rsidR="00AB0F2A" w:rsidRPr="00AB0F2A" w:rsidRDefault="00AB0F2A" w:rsidP="00083D63">
            <w:pPr>
              <w:spacing w:after="0"/>
              <w:ind w:left="34"/>
              <w:rPr>
                <w:b/>
                <w:sz w:val="19"/>
                <w:szCs w:val="19"/>
              </w:rPr>
            </w:pPr>
            <w:r w:rsidRPr="00AB0F2A">
              <w:rPr>
                <w:b/>
                <w:sz w:val="19"/>
                <w:szCs w:val="19"/>
              </w:rPr>
              <w:t>4,677,495</w:t>
            </w:r>
          </w:p>
        </w:tc>
        <w:tc>
          <w:tcPr>
            <w:tcW w:w="4252" w:type="dxa"/>
            <w:tcBorders>
              <w:top w:val="single" w:sz="6" w:space="0" w:color="000000"/>
            </w:tcBorders>
            <w:shd w:val="clear" w:color="auto" w:fill="auto"/>
            <w:vAlign w:val="center"/>
          </w:tcPr>
          <w:p w:rsidR="00AB0F2A" w:rsidRPr="00AB0F2A" w:rsidRDefault="00AB0F2A" w:rsidP="00AB0F2A">
            <w:pPr>
              <w:spacing w:after="0"/>
              <w:rPr>
                <w:b/>
                <w:sz w:val="19"/>
                <w:szCs w:val="19"/>
              </w:rPr>
            </w:pPr>
            <w:r w:rsidRPr="00AB0F2A">
              <w:rPr>
                <w:b/>
                <w:sz w:val="19"/>
                <w:szCs w:val="19"/>
              </w:rPr>
              <w:t>+2.2%</w:t>
            </w:r>
            <w:r>
              <w:rPr>
                <w:b/>
                <w:sz w:val="19"/>
                <w:szCs w:val="19"/>
              </w:rPr>
              <w:tab/>
              <w:t xml:space="preserve">        2,767,994     2,891,193</w:t>
            </w:r>
            <w:r>
              <w:rPr>
                <w:b/>
                <w:sz w:val="19"/>
                <w:szCs w:val="19"/>
              </w:rPr>
              <w:tab/>
              <w:t xml:space="preserve">      +4.5%</w:t>
            </w:r>
          </w:p>
        </w:tc>
      </w:tr>
    </w:tbl>
    <w:p w:rsidR="007623DE" w:rsidRDefault="007623DE" w:rsidP="007623DE">
      <w:pPr>
        <w:spacing w:before="40"/>
        <w:ind w:left="709"/>
        <w:rPr>
          <w:rStyle w:val="SubtleEmphasis"/>
        </w:rPr>
      </w:pPr>
      <w:r w:rsidRPr="003E0093">
        <w:rPr>
          <w:rStyle w:val="SubtleEmphasis"/>
        </w:rPr>
        <w:t>Source:</w:t>
      </w:r>
      <w:r w:rsidR="00043ACD">
        <w:rPr>
          <w:rStyle w:val="SubtleEmphasis"/>
        </w:rPr>
        <w:t xml:space="preserve"> IHCA based on</w:t>
      </w:r>
      <w:r w:rsidR="003B41E5">
        <w:rPr>
          <w:rStyle w:val="SubtleEmphasis"/>
        </w:rPr>
        <w:t xml:space="preserve"> HSE Performance Reports dated</w:t>
      </w:r>
      <w:r>
        <w:rPr>
          <w:rStyle w:val="SubtleEmphasis"/>
        </w:rPr>
        <w:t xml:space="preserve"> 11</w:t>
      </w:r>
      <w:r w:rsidRPr="00796F3B">
        <w:rPr>
          <w:rStyle w:val="SubtleEmphasis"/>
          <w:vertAlign w:val="superscript"/>
        </w:rPr>
        <w:t>th</w:t>
      </w:r>
      <w:r>
        <w:rPr>
          <w:rStyle w:val="SubtleEmphasis"/>
        </w:rPr>
        <w:t xml:space="preserve"> February 2010</w:t>
      </w:r>
      <w:r w:rsidR="003B41E5">
        <w:rPr>
          <w:rStyle w:val="SubtleEmphasis"/>
        </w:rPr>
        <w:t xml:space="preserve"> and September 9</w:t>
      </w:r>
      <w:r w:rsidR="003B41E5" w:rsidRPr="003B41E5">
        <w:rPr>
          <w:rStyle w:val="SubtleEmphasis"/>
          <w:vertAlign w:val="superscript"/>
        </w:rPr>
        <w:t>th</w:t>
      </w:r>
      <w:r w:rsidR="003B41E5">
        <w:rPr>
          <w:rStyle w:val="SubtleEmphasis"/>
        </w:rPr>
        <w:t>, 2010</w:t>
      </w:r>
      <w:r w:rsidR="00043ACD">
        <w:rPr>
          <w:rStyle w:val="SubtleEmphasis"/>
        </w:rPr>
        <w:t>.</w:t>
      </w:r>
    </w:p>
    <w:p w:rsidR="00A21992" w:rsidRPr="000D5761" w:rsidRDefault="00A21992" w:rsidP="00A21992">
      <w:pPr>
        <w:numPr>
          <w:ilvl w:val="0"/>
          <w:numId w:val="4"/>
        </w:numPr>
        <w:spacing w:after="0" w:line="240" w:lineRule="auto"/>
        <w:ind w:left="360"/>
        <w:jc w:val="both"/>
        <w:rPr>
          <w:sz w:val="16"/>
          <w:szCs w:val="16"/>
        </w:rPr>
      </w:pPr>
      <w:r>
        <w:t xml:space="preserve">Given this increased acute hospital activity and </w:t>
      </w:r>
      <w:r w:rsidR="009E4513">
        <w:t xml:space="preserve">because of the </w:t>
      </w:r>
      <w:r>
        <w:t>2010 budget underfundin</w:t>
      </w:r>
      <w:r w:rsidR="009E4513">
        <w:t>g most acute hospitals we</w:t>
      </w:r>
      <w:r>
        <w:t xml:space="preserve">re well over budget </w:t>
      </w:r>
      <w:r w:rsidR="009E4513">
        <w:t>on July 31</w:t>
      </w:r>
      <w:r w:rsidR="009E4513" w:rsidRPr="009E4513">
        <w:rPr>
          <w:vertAlign w:val="superscript"/>
        </w:rPr>
        <w:t>st</w:t>
      </w:r>
      <w:r w:rsidR="009E4513">
        <w:t xml:space="preserve"> </w:t>
      </w:r>
      <w:r>
        <w:t>including the following examples:</w:t>
      </w:r>
    </w:p>
    <w:p w:rsidR="00A21992" w:rsidRDefault="00A21992" w:rsidP="00A21992">
      <w:pPr>
        <w:spacing w:after="0" w:line="240" w:lineRule="auto"/>
        <w:jc w:val="both"/>
      </w:pPr>
    </w:p>
    <w:p w:rsidR="00A21992" w:rsidRDefault="00A21992" w:rsidP="00A21992">
      <w:pPr>
        <w:numPr>
          <w:ilvl w:val="0"/>
          <w:numId w:val="9"/>
        </w:numPr>
        <w:spacing w:after="0" w:line="240" w:lineRule="auto"/>
        <w:jc w:val="both"/>
      </w:pPr>
      <w:r>
        <w:t>University College Hospital</w:t>
      </w:r>
      <w:r w:rsidR="00F83A7F">
        <w:t>, Galway</w:t>
      </w:r>
      <w:r>
        <w:tab/>
      </w:r>
      <w:r>
        <w:tab/>
        <w:t>€14.7m</w:t>
      </w:r>
    </w:p>
    <w:p w:rsidR="00A21992" w:rsidRDefault="00A21992" w:rsidP="00A21992">
      <w:pPr>
        <w:numPr>
          <w:ilvl w:val="0"/>
          <w:numId w:val="9"/>
        </w:numPr>
        <w:spacing w:after="0" w:line="240" w:lineRule="auto"/>
        <w:jc w:val="both"/>
      </w:pPr>
      <w:r>
        <w:t>Mid-Western Regional Hospital</w:t>
      </w:r>
      <w:r w:rsidR="00F83A7F">
        <w:t>,</w:t>
      </w:r>
      <w:r>
        <w:t xml:space="preserve"> Limerick</w:t>
      </w:r>
      <w:r>
        <w:tab/>
        <w:t>€12m</w:t>
      </w:r>
    </w:p>
    <w:p w:rsidR="00A21992" w:rsidRDefault="00A21992" w:rsidP="00A21992">
      <w:pPr>
        <w:numPr>
          <w:ilvl w:val="0"/>
          <w:numId w:val="9"/>
        </w:numPr>
        <w:spacing w:after="0" w:line="240" w:lineRule="auto"/>
        <w:jc w:val="both"/>
      </w:pPr>
      <w:r>
        <w:t>Beaumont Hospital</w:t>
      </w:r>
      <w:r>
        <w:tab/>
      </w:r>
      <w:r>
        <w:tab/>
      </w:r>
      <w:r>
        <w:tab/>
      </w:r>
      <w:r>
        <w:tab/>
        <w:t>€7.8m</w:t>
      </w:r>
    </w:p>
    <w:p w:rsidR="00A21992" w:rsidRDefault="00A21992" w:rsidP="00A21992">
      <w:pPr>
        <w:numPr>
          <w:ilvl w:val="0"/>
          <w:numId w:val="9"/>
        </w:numPr>
        <w:spacing w:after="0" w:line="240" w:lineRule="auto"/>
        <w:jc w:val="both"/>
      </w:pPr>
      <w:r>
        <w:t xml:space="preserve">Our Lady of Lourdes Hospital, Drogheda </w:t>
      </w:r>
      <w:r>
        <w:tab/>
        <w:t>€7.1m</w:t>
      </w:r>
    </w:p>
    <w:p w:rsidR="009E4513" w:rsidRDefault="00A21992" w:rsidP="00A21992">
      <w:pPr>
        <w:spacing w:before="40"/>
        <w:ind w:left="709"/>
        <w:rPr>
          <w:rStyle w:val="SubtleEmphasis"/>
        </w:rPr>
      </w:pPr>
      <w:r>
        <w:t>Adelaide and Meath Hospital, Tallaght</w:t>
      </w:r>
      <w:r>
        <w:tab/>
      </w:r>
      <w:r>
        <w:tab/>
        <w:t>€6.4m</w:t>
      </w:r>
      <w:r>
        <w:tab/>
      </w:r>
    </w:p>
    <w:p w:rsidR="009E4513" w:rsidRPr="009E4513" w:rsidRDefault="009E4513" w:rsidP="009E4513">
      <w:pPr>
        <w:spacing w:after="0" w:line="240" w:lineRule="auto"/>
        <w:ind w:left="360"/>
        <w:rPr>
          <w:b/>
          <w:sz w:val="28"/>
          <w:szCs w:val="28"/>
          <w:lang w:val="en-GB"/>
        </w:rPr>
      </w:pPr>
      <w:r w:rsidRPr="009E4513">
        <w:rPr>
          <w:b/>
          <w:sz w:val="28"/>
          <w:szCs w:val="28"/>
          <w:lang w:val="en-GB"/>
        </w:rPr>
        <w:t>Bed, Theatre and other Capacity Reductions</w:t>
      </w:r>
    </w:p>
    <w:p w:rsidR="00C758F0" w:rsidRDefault="00C758F0" w:rsidP="00A212C6">
      <w:pPr>
        <w:numPr>
          <w:ilvl w:val="0"/>
          <w:numId w:val="4"/>
        </w:numPr>
        <w:spacing w:after="0" w:line="240" w:lineRule="auto"/>
        <w:ind w:left="426" w:hanging="426"/>
        <w:rPr>
          <w:lang w:val="en-GB"/>
        </w:rPr>
      </w:pPr>
      <w:r>
        <w:rPr>
          <w:lang w:val="en-GB"/>
        </w:rPr>
        <w:t>Senior HSE management ha</w:t>
      </w:r>
      <w:r w:rsidR="00FC6542">
        <w:rPr>
          <w:lang w:val="en-GB"/>
        </w:rPr>
        <w:t>s</w:t>
      </w:r>
      <w:r>
        <w:rPr>
          <w:lang w:val="en-GB"/>
        </w:rPr>
        <w:t xml:space="preserve"> confirmed that the impact of the reduced 2010 budget will be that breakeven plans for all hospitals will involve bed closures, resulting in lo</w:t>
      </w:r>
      <w:r w:rsidR="00FC6542">
        <w:rPr>
          <w:lang w:val="en-GB"/>
        </w:rPr>
        <w:t>nger waiting times in hospital e</w:t>
      </w:r>
      <w:r>
        <w:rPr>
          <w:lang w:val="en-GB"/>
        </w:rPr>
        <w:t xml:space="preserve">mergency </w:t>
      </w:r>
      <w:r w:rsidR="00FC6542">
        <w:rPr>
          <w:lang w:val="en-GB"/>
        </w:rPr>
        <w:t>d</w:t>
      </w:r>
      <w:r>
        <w:rPr>
          <w:lang w:val="en-GB"/>
        </w:rPr>
        <w:t>epartment</w:t>
      </w:r>
      <w:r w:rsidR="00FC6542">
        <w:rPr>
          <w:lang w:val="en-GB"/>
        </w:rPr>
        <w:t>s</w:t>
      </w:r>
      <w:r>
        <w:rPr>
          <w:lang w:val="en-GB"/>
        </w:rPr>
        <w:t>.  Prof Brendan Drumm in his July 8</w:t>
      </w:r>
      <w:r w:rsidRPr="00F409F1">
        <w:rPr>
          <w:vertAlign w:val="superscript"/>
          <w:lang w:val="en-GB"/>
        </w:rPr>
        <w:t>th</w:t>
      </w:r>
      <w:r>
        <w:rPr>
          <w:lang w:val="en-GB"/>
        </w:rPr>
        <w:t xml:space="preserve"> report to the Board confirmed that comprehensive breakeven plans for each region were put in place at the start of this year.  He added that based on the May financial data the regional breakeven plans were subject to a significant review and the plans were currently being augmented as the scale of the challenge is significant in all regions.  Furthermore, he confirmed that a particular and concerted focus is being placed on the West to deal with the financial challenges there amounting to €88m.  </w:t>
      </w:r>
    </w:p>
    <w:p w:rsidR="00C758F0" w:rsidRDefault="00C758F0" w:rsidP="00C758F0">
      <w:pPr>
        <w:spacing w:after="0" w:line="240" w:lineRule="auto"/>
        <w:ind w:left="426"/>
        <w:rPr>
          <w:lang w:val="en-GB"/>
        </w:rPr>
      </w:pPr>
    </w:p>
    <w:p w:rsidR="00BA085E" w:rsidRPr="00BA085E" w:rsidRDefault="009E4513" w:rsidP="00A212C6">
      <w:pPr>
        <w:numPr>
          <w:ilvl w:val="0"/>
          <w:numId w:val="4"/>
        </w:numPr>
        <w:spacing w:after="0" w:line="240" w:lineRule="auto"/>
        <w:ind w:left="426" w:hanging="426"/>
        <w:rPr>
          <w:lang w:val="en-GB"/>
        </w:rPr>
      </w:pPr>
      <w:r>
        <w:t xml:space="preserve">The reductions in 2010 Budget give rise to grave concerns as they will force budget driven reductions in the long term capacity to deliver </w:t>
      </w:r>
      <w:r w:rsidR="00043ACD">
        <w:t>a</w:t>
      </w:r>
      <w:r>
        <w:t xml:space="preserve">cute </w:t>
      </w:r>
      <w:r w:rsidR="00043ACD">
        <w:t>h</w:t>
      </w:r>
      <w:r>
        <w:t xml:space="preserve">ospital </w:t>
      </w:r>
      <w:r w:rsidR="00043ACD">
        <w:t>c</w:t>
      </w:r>
      <w:r>
        <w:t xml:space="preserve">are and </w:t>
      </w:r>
      <w:r w:rsidR="00043ACD">
        <w:t>m</w:t>
      </w:r>
      <w:r>
        <w:t xml:space="preserve">ental </w:t>
      </w:r>
      <w:r w:rsidR="00043ACD">
        <w:t>h</w:t>
      </w:r>
      <w:r>
        <w:t xml:space="preserve">ealth </w:t>
      </w:r>
      <w:r w:rsidR="00043ACD">
        <w:t>s</w:t>
      </w:r>
      <w:r>
        <w:t xml:space="preserve">ervices to the detriment of patient care and safety in an era of increasing demand for healthcare. </w:t>
      </w:r>
    </w:p>
    <w:p w:rsidR="00937590" w:rsidRDefault="00937590" w:rsidP="00937590">
      <w:pPr>
        <w:spacing w:after="0" w:line="240" w:lineRule="auto"/>
        <w:ind w:left="426"/>
      </w:pPr>
    </w:p>
    <w:p w:rsidR="009E4513" w:rsidRDefault="009E4513" w:rsidP="00A212C6">
      <w:pPr>
        <w:numPr>
          <w:ilvl w:val="0"/>
          <w:numId w:val="4"/>
        </w:numPr>
        <w:spacing w:after="0" w:line="240" w:lineRule="auto"/>
        <w:ind w:left="426" w:hanging="426"/>
      </w:pPr>
      <w:r>
        <w:t>Underfunding to date and restrictions on service delivery have resulted in:</w:t>
      </w:r>
    </w:p>
    <w:p w:rsidR="009E4513" w:rsidRDefault="009E4513" w:rsidP="00A212C6">
      <w:pPr>
        <w:numPr>
          <w:ilvl w:val="1"/>
          <w:numId w:val="4"/>
        </w:numPr>
        <w:spacing w:after="0" w:line="240" w:lineRule="auto"/>
      </w:pPr>
      <w:r>
        <w:t xml:space="preserve">The closure of acute hospital services, hospital beds, wards, theatres and other </w:t>
      </w:r>
      <w:r w:rsidR="00043ACD">
        <w:t xml:space="preserve">facilities </w:t>
      </w:r>
      <w:r>
        <w:t xml:space="preserve"> essential for service delivery;</w:t>
      </w:r>
    </w:p>
    <w:p w:rsidR="009E4513" w:rsidRDefault="009E4513" w:rsidP="00A212C6">
      <w:pPr>
        <w:numPr>
          <w:ilvl w:val="1"/>
          <w:numId w:val="4"/>
        </w:numPr>
        <w:spacing w:after="0" w:line="240" w:lineRule="auto"/>
      </w:pPr>
      <w:r>
        <w:t>Increased waiting lists, which have totaled around 4</w:t>
      </w:r>
      <w:r w:rsidR="00043ACD">
        <w:t>6</w:t>
      </w:r>
      <w:r>
        <w:t xml:space="preserve">,000 inpatient and day-case patients; </w:t>
      </w:r>
    </w:p>
    <w:p w:rsidR="009E4513" w:rsidRDefault="009E4513" w:rsidP="00A212C6">
      <w:pPr>
        <w:numPr>
          <w:ilvl w:val="1"/>
          <w:numId w:val="4"/>
        </w:numPr>
        <w:spacing w:after="0" w:line="240" w:lineRule="auto"/>
      </w:pPr>
      <w:r>
        <w:t xml:space="preserve">Increased reliance on trolleys </w:t>
      </w:r>
      <w:r w:rsidR="00B35C3E">
        <w:t xml:space="preserve">and chairs </w:t>
      </w:r>
      <w:r>
        <w:t>in emergency departments due to a lack of beds to admit patients; and</w:t>
      </w:r>
    </w:p>
    <w:p w:rsidR="009E4513" w:rsidRDefault="009E4513" w:rsidP="00A212C6">
      <w:pPr>
        <w:numPr>
          <w:ilvl w:val="1"/>
          <w:numId w:val="4"/>
        </w:numPr>
        <w:spacing w:after="0" w:line="240" w:lineRule="auto"/>
      </w:pPr>
      <w:r>
        <w:t>Excessive patient waiting times in many emergency departments where patients have to endure delays in treatment and admission.</w:t>
      </w:r>
    </w:p>
    <w:p w:rsidR="009E4513" w:rsidRPr="006E029D" w:rsidRDefault="009E4513" w:rsidP="009E4513">
      <w:pPr>
        <w:spacing w:after="0"/>
        <w:rPr>
          <w:sz w:val="20"/>
          <w:szCs w:val="20"/>
        </w:rPr>
      </w:pPr>
    </w:p>
    <w:p w:rsidR="00C758F0" w:rsidRPr="00BA085E" w:rsidRDefault="00043ACD" w:rsidP="00A212C6">
      <w:pPr>
        <w:numPr>
          <w:ilvl w:val="0"/>
          <w:numId w:val="4"/>
        </w:numPr>
        <w:spacing w:after="0" w:line="240" w:lineRule="auto"/>
        <w:ind w:left="426" w:hanging="426"/>
        <w:rPr>
          <w:lang w:val="en-GB"/>
        </w:rPr>
      </w:pPr>
      <w:r>
        <w:rPr>
          <w:lang w:val="en-GB"/>
        </w:rPr>
        <w:t>Bed closures</w:t>
      </w:r>
      <w:r w:rsidR="00F83A7F">
        <w:rPr>
          <w:lang w:val="en-GB"/>
        </w:rPr>
        <w:t xml:space="preserve">, for example, </w:t>
      </w:r>
      <w:r>
        <w:rPr>
          <w:lang w:val="en-GB"/>
        </w:rPr>
        <w:t xml:space="preserve">include: </w:t>
      </w:r>
      <w:r w:rsidR="00C758F0" w:rsidRPr="00BA085E">
        <w:rPr>
          <w:lang w:val="en-GB"/>
        </w:rPr>
        <w:t>Beaumont</w:t>
      </w:r>
      <w:r>
        <w:rPr>
          <w:lang w:val="en-GB"/>
        </w:rPr>
        <w:t>,</w:t>
      </w:r>
      <w:r w:rsidR="00BA085E">
        <w:rPr>
          <w:lang w:val="en-GB"/>
        </w:rPr>
        <w:t xml:space="preserve"> </w:t>
      </w:r>
      <w:r w:rsidR="00C758F0" w:rsidRPr="00BA085E">
        <w:rPr>
          <w:lang w:val="en-GB"/>
        </w:rPr>
        <w:t>52 beds in May; Mater</w:t>
      </w:r>
      <w:r>
        <w:rPr>
          <w:lang w:val="en-GB"/>
        </w:rPr>
        <w:t>,</w:t>
      </w:r>
      <w:r w:rsidR="00C758F0" w:rsidRPr="00BA085E">
        <w:rPr>
          <w:lang w:val="en-GB"/>
        </w:rPr>
        <w:t xml:space="preserve"> 60 beds in June; Dundalk</w:t>
      </w:r>
      <w:r>
        <w:rPr>
          <w:lang w:val="en-GB"/>
        </w:rPr>
        <w:t xml:space="preserve"> and Drogheda,</w:t>
      </w:r>
      <w:r w:rsidR="00C758F0" w:rsidRPr="00BA085E">
        <w:rPr>
          <w:lang w:val="en-GB"/>
        </w:rPr>
        <w:t xml:space="preserve"> 35 beds </w:t>
      </w:r>
      <w:r w:rsidR="00BA085E">
        <w:rPr>
          <w:lang w:val="en-GB"/>
        </w:rPr>
        <w:t>in July</w:t>
      </w:r>
      <w:r w:rsidR="00C758F0" w:rsidRPr="00BA085E">
        <w:rPr>
          <w:lang w:val="en-GB"/>
        </w:rPr>
        <w:t>; Cavan</w:t>
      </w:r>
      <w:r w:rsidR="00BA085E">
        <w:rPr>
          <w:lang w:val="en-GB"/>
        </w:rPr>
        <w:t>:</w:t>
      </w:r>
      <w:r w:rsidR="00C758F0" w:rsidRPr="00BA085E">
        <w:rPr>
          <w:lang w:val="en-GB"/>
        </w:rPr>
        <w:t xml:space="preserve"> 28 beds </w:t>
      </w:r>
      <w:r w:rsidR="00BA085E">
        <w:rPr>
          <w:lang w:val="en-GB"/>
        </w:rPr>
        <w:t xml:space="preserve">planned </w:t>
      </w:r>
      <w:r w:rsidR="00C758F0" w:rsidRPr="00BA085E">
        <w:rPr>
          <w:lang w:val="en-GB"/>
        </w:rPr>
        <w:t>in September/October</w:t>
      </w:r>
      <w:r w:rsidR="00F83A7F">
        <w:rPr>
          <w:lang w:val="en-GB"/>
        </w:rPr>
        <w:t xml:space="preserve"> and Mid-Western Regional Hospital, 40 beds.</w:t>
      </w:r>
    </w:p>
    <w:p w:rsidR="00C758F0" w:rsidRDefault="00C758F0" w:rsidP="00C758F0">
      <w:pPr>
        <w:spacing w:after="0" w:line="240" w:lineRule="auto"/>
        <w:ind w:left="426"/>
        <w:rPr>
          <w:lang w:val="en-GB"/>
        </w:rPr>
      </w:pPr>
    </w:p>
    <w:p w:rsidR="00C758F0" w:rsidRDefault="00BA085E" w:rsidP="00A212C6">
      <w:pPr>
        <w:numPr>
          <w:ilvl w:val="0"/>
          <w:numId w:val="4"/>
        </w:numPr>
        <w:tabs>
          <w:tab w:val="left" w:pos="426"/>
        </w:tabs>
        <w:spacing w:after="0" w:line="240" w:lineRule="auto"/>
        <w:ind w:left="426" w:hanging="426"/>
        <w:rPr>
          <w:lang w:val="en-GB"/>
        </w:rPr>
      </w:pPr>
      <w:r>
        <w:rPr>
          <w:lang w:val="en-GB"/>
        </w:rPr>
        <w:t>Theatre closures</w:t>
      </w:r>
      <w:r w:rsidR="00F83A7F">
        <w:rPr>
          <w:lang w:val="en-GB"/>
        </w:rPr>
        <w:t xml:space="preserve">, for example, </w:t>
      </w:r>
      <w:r>
        <w:rPr>
          <w:lang w:val="en-GB"/>
        </w:rPr>
        <w:t xml:space="preserve">include: </w:t>
      </w:r>
      <w:r w:rsidR="00C758F0" w:rsidRPr="00C758F0">
        <w:rPr>
          <w:lang w:val="en-GB"/>
        </w:rPr>
        <w:t>Letterkenny closed for 3 weeks during the Summer; C</w:t>
      </w:r>
      <w:r w:rsidR="00F83A7F">
        <w:rPr>
          <w:lang w:val="en-GB"/>
        </w:rPr>
        <w:t xml:space="preserve">ork </w:t>
      </w:r>
      <w:r w:rsidR="00C758F0" w:rsidRPr="00C758F0">
        <w:rPr>
          <w:lang w:val="en-GB"/>
        </w:rPr>
        <w:t>U</w:t>
      </w:r>
      <w:r w:rsidR="00F83A7F">
        <w:rPr>
          <w:lang w:val="en-GB"/>
        </w:rPr>
        <w:t xml:space="preserve">niversity </w:t>
      </w:r>
      <w:r w:rsidR="00C758F0" w:rsidRPr="00C758F0">
        <w:rPr>
          <w:lang w:val="en-GB"/>
        </w:rPr>
        <w:t>H</w:t>
      </w:r>
      <w:r w:rsidR="00F83A7F">
        <w:rPr>
          <w:lang w:val="en-GB"/>
        </w:rPr>
        <w:t xml:space="preserve">ospital </w:t>
      </w:r>
      <w:r w:rsidR="00C758F0" w:rsidRPr="00C758F0">
        <w:rPr>
          <w:lang w:val="en-GB"/>
        </w:rPr>
        <w:t xml:space="preserve">rolling Summer theatre closures; Waterford Regional </w:t>
      </w:r>
      <w:r w:rsidR="00F83A7F">
        <w:rPr>
          <w:lang w:val="en-GB"/>
        </w:rPr>
        <w:t xml:space="preserve">Hospital </w:t>
      </w:r>
      <w:r w:rsidR="00C758F0" w:rsidRPr="00C758F0">
        <w:rPr>
          <w:lang w:val="en-GB"/>
        </w:rPr>
        <w:t xml:space="preserve">3 theatres closed for July and August; Mullingar </w:t>
      </w:r>
      <w:r w:rsidR="00F83A7F">
        <w:rPr>
          <w:lang w:val="en-GB"/>
        </w:rPr>
        <w:t xml:space="preserve">Hospital </w:t>
      </w:r>
      <w:r w:rsidR="00C758F0" w:rsidRPr="00C758F0">
        <w:rPr>
          <w:lang w:val="en-GB"/>
        </w:rPr>
        <w:t xml:space="preserve">educed elective services during the Summer; Mater </w:t>
      </w:r>
      <w:r w:rsidR="00F83A7F">
        <w:rPr>
          <w:lang w:val="en-GB"/>
        </w:rPr>
        <w:t xml:space="preserve">Hospital </w:t>
      </w:r>
      <w:r w:rsidR="00C758F0" w:rsidRPr="00C758F0">
        <w:rPr>
          <w:lang w:val="en-GB"/>
        </w:rPr>
        <w:t>rolling theatre closures d</w:t>
      </w:r>
      <w:r w:rsidR="009651C8">
        <w:rPr>
          <w:lang w:val="en-GB"/>
        </w:rPr>
        <w:t xml:space="preserve">uring the Summer; </w:t>
      </w:r>
      <w:r w:rsidR="00F83A7F">
        <w:rPr>
          <w:lang w:val="en-GB"/>
        </w:rPr>
        <w:t xml:space="preserve">Galway </w:t>
      </w:r>
      <w:r w:rsidR="009651C8">
        <w:rPr>
          <w:lang w:val="en-GB"/>
        </w:rPr>
        <w:t>U</w:t>
      </w:r>
      <w:r w:rsidR="00F83A7F">
        <w:rPr>
          <w:lang w:val="en-GB"/>
        </w:rPr>
        <w:t xml:space="preserve">niversity Hospital </w:t>
      </w:r>
      <w:r w:rsidR="009651C8">
        <w:rPr>
          <w:lang w:val="en-GB"/>
        </w:rPr>
        <w:t xml:space="preserve">rolling </w:t>
      </w:r>
      <w:r w:rsidR="00C758F0" w:rsidRPr="00C758F0">
        <w:rPr>
          <w:lang w:val="en-GB"/>
        </w:rPr>
        <w:t>the</w:t>
      </w:r>
      <w:r w:rsidR="00C758F0">
        <w:rPr>
          <w:lang w:val="en-GB"/>
        </w:rPr>
        <w:t>atre closures during the Summer</w:t>
      </w:r>
      <w:r w:rsidR="00F83A7F">
        <w:rPr>
          <w:lang w:val="en-GB"/>
        </w:rPr>
        <w:t xml:space="preserve"> and Mid-Western Regional Hospital will have half the theatres closed over the next 3 months.</w:t>
      </w:r>
    </w:p>
    <w:p w:rsidR="00C758F0" w:rsidRDefault="00C758F0" w:rsidP="00056C5D">
      <w:pPr>
        <w:tabs>
          <w:tab w:val="left" w:pos="426"/>
        </w:tabs>
        <w:spacing w:after="0" w:line="240" w:lineRule="auto"/>
        <w:ind w:left="426"/>
        <w:rPr>
          <w:lang w:val="en-GB"/>
        </w:rPr>
      </w:pPr>
    </w:p>
    <w:p w:rsidR="00C758F0" w:rsidRDefault="00BA085E" w:rsidP="00A212C6">
      <w:pPr>
        <w:numPr>
          <w:ilvl w:val="0"/>
          <w:numId w:val="4"/>
        </w:numPr>
        <w:tabs>
          <w:tab w:val="left" w:pos="426"/>
        </w:tabs>
        <w:spacing w:after="0" w:line="240" w:lineRule="auto"/>
        <w:ind w:left="426" w:hanging="426"/>
        <w:rPr>
          <w:lang w:val="en-GB"/>
        </w:rPr>
      </w:pPr>
      <w:r>
        <w:rPr>
          <w:lang w:val="en-GB"/>
        </w:rPr>
        <w:t xml:space="preserve">The delivery of </w:t>
      </w:r>
      <w:r w:rsidR="00C758F0">
        <w:rPr>
          <w:lang w:val="en-GB"/>
        </w:rPr>
        <w:t xml:space="preserve">Home </w:t>
      </w:r>
      <w:r w:rsidR="00FC6542">
        <w:rPr>
          <w:lang w:val="en-GB"/>
        </w:rPr>
        <w:t>H</w:t>
      </w:r>
      <w:r w:rsidR="00C758F0">
        <w:rPr>
          <w:lang w:val="en-GB"/>
        </w:rPr>
        <w:t xml:space="preserve">elp Hours </w:t>
      </w:r>
      <w:r>
        <w:rPr>
          <w:lang w:val="en-GB"/>
        </w:rPr>
        <w:t>declined by 7% up to July 31st</w:t>
      </w:r>
      <w:r w:rsidR="00C758F0">
        <w:rPr>
          <w:lang w:val="en-GB"/>
        </w:rPr>
        <w:t xml:space="preserve"> and older people in public long stay facilities are </w:t>
      </w:r>
      <w:r>
        <w:rPr>
          <w:lang w:val="en-GB"/>
        </w:rPr>
        <w:t xml:space="preserve">being </w:t>
      </w:r>
      <w:r w:rsidR="00C758F0">
        <w:rPr>
          <w:lang w:val="en-GB"/>
        </w:rPr>
        <w:t xml:space="preserve">encouraged to apply </w:t>
      </w:r>
      <w:r>
        <w:rPr>
          <w:lang w:val="en-GB"/>
        </w:rPr>
        <w:t>to</w:t>
      </w:r>
      <w:r w:rsidR="00C758F0">
        <w:rPr>
          <w:lang w:val="en-GB"/>
        </w:rPr>
        <w:t xml:space="preserve"> F</w:t>
      </w:r>
      <w:r w:rsidR="00FC6542">
        <w:rPr>
          <w:lang w:val="en-GB"/>
        </w:rPr>
        <w:t>air</w:t>
      </w:r>
      <w:r w:rsidR="00C758F0">
        <w:rPr>
          <w:lang w:val="en-GB"/>
        </w:rPr>
        <w:t xml:space="preserve"> Deal</w:t>
      </w:r>
      <w:r w:rsidR="00FC6542">
        <w:rPr>
          <w:lang w:val="en-GB"/>
        </w:rPr>
        <w:t xml:space="preserve"> and</w:t>
      </w:r>
      <w:r w:rsidR="00C758F0">
        <w:rPr>
          <w:lang w:val="en-GB"/>
        </w:rPr>
        <w:t xml:space="preserve"> to </w:t>
      </w:r>
      <w:r>
        <w:rPr>
          <w:lang w:val="en-GB"/>
        </w:rPr>
        <w:t>transfer to</w:t>
      </w:r>
      <w:r w:rsidR="00C758F0">
        <w:rPr>
          <w:lang w:val="en-GB"/>
        </w:rPr>
        <w:t xml:space="preserve"> Private Nursing Homes.  </w:t>
      </w:r>
    </w:p>
    <w:p w:rsidR="00F64BCD" w:rsidRDefault="00F64BCD" w:rsidP="007623DE">
      <w:pPr>
        <w:spacing w:after="0"/>
        <w:ind w:left="720"/>
        <w:rPr>
          <w:b/>
          <w:sz w:val="28"/>
          <w:szCs w:val="28"/>
        </w:rPr>
      </w:pPr>
    </w:p>
    <w:p w:rsidR="007623DE" w:rsidRPr="00971205" w:rsidRDefault="00971205" w:rsidP="007623DE">
      <w:pPr>
        <w:spacing w:after="0"/>
        <w:ind w:left="720"/>
        <w:rPr>
          <w:b/>
          <w:sz w:val="28"/>
          <w:szCs w:val="28"/>
        </w:rPr>
      </w:pPr>
      <w:r w:rsidRPr="00971205">
        <w:rPr>
          <w:b/>
          <w:sz w:val="28"/>
          <w:szCs w:val="28"/>
        </w:rPr>
        <w:t>Increases in Waiting Lists, Use of Trolleys and Emergency Delays</w:t>
      </w:r>
    </w:p>
    <w:p w:rsidR="00E2653F" w:rsidRDefault="00E2653F" w:rsidP="00046F6A">
      <w:pPr>
        <w:spacing w:after="0" w:line="240" w:lineRule="auto"/>
        <w:rPr>
          <w:b/>
        </w:rPr>
      </w:pPr>
    </w:p>
    <w:p w:rsidR="00FC6542" w:rsidRDefault="00E2653F" w:rsidP="00937590">
      <w:pPr>
        <w:numPr>
          <w:ilvl w:val="0"/>
          <w:numId w:val="4"/>
        </w:numPr>
        <w:spacing w:after="120" w:line="240" w:lineRule="auto"/>
        <w:ind w:left="426" w:hanging="426"/>
      </w:pPr>
      <w:r w:rsidRPr="005702AA">
        <w:rPr>
          <w:b/>
        </w:rPr>
        <w:t xml:space="preserve">The most recent HSE </w:t>
      </w:r>
      <w:r w:rsidR="00B35C3E">
        <w:rPr>
          <w:b/>
        </w:rPr>
        <w:t>Performance R</w:t>
      </w:r>
      <w:r w:rsidRPr="005702AA">
        <w:rPr>
          <w:b/>
        </w:rPr>
        <w:t>eport confirms over 4</w:t>
      </w:r>
      <w:r>
        <w:rPr>
          <w:b/>
        </w:rPr>
        <w:t>6</w:t>
      </w:r>
      <w:r w:rsidRPr="005702AA">
        <w:rPr>
          <w:b/>
        </w:rPr>
        <w:t xml:space="preserve">,000 children and adults </w:t>
      </w:r>
      <w:r w:rsidR="00FC6542">
        <w:rPr>
          <w:b/>
        </w:rPr>
        <w:t>are waiting for treatment (see t</w:t>
      </w:r>
      <w:r w:rsidRPr="005702AA">
        <w:rPr>
          <w:b/>
        </w:rPr>
        <w:t>able</w:t>
      </w:r>
      <w:r>
        <w:rPr>
          <w:b/>
        </w:rPr>
        <w:t xml:space="preserve"> below</w:t>
      </w:r>
      <w:r w:rsidRPr="005702AA">
        <w:rPr>
          <w:b/>
        </w:rPr>
        <w:t xml:space="preserve">). </w:t>
      </w:r>
      <w:r>
        <w:rPr>
          <w:b/>
        </w:rPr>
        <w:t xml:space="preserve"> </w:t>
      </w:r>
      <w:r w:rsidRPr="001F003B">
        <w:t>This</w:t>
      </w:r>
      <w:r w:rsidRPr="00B7453A">
        <w:t xml:space="preserve"> represents </w:t>
      </w:r>
      <w:r>
        <w:t>a large</w:t>
      </w:r>
      <w:r w:rsidRPr="00B7453A">
        <w:t xml:space="preserve"> number of patients</w:t>
      </w:r>
      <w:r w:rsidR="009651C8">
        <w:t xml:space="preserve"> in</w:t>
      </w:r>
      <w:r>
        <w:t xml:space="preserve"> </w:t>
      </w:r>
      <w:r w:rsidR="00971205">
        <w:t>July 2</w:t>
      </w:r>
      <w:r>
        <w:t>0</w:t>
      </w:r>
      <w:r w:rsidR="00971205">
        <w:t>10</w:t>
      </w:r>
      <w:r>
        <w:t>,</w:t>
      </w:r>
      <w:r w:rsidRPr="00B7453A">
        <w:t xml:space="preserve"> who </w:t>
      </w:r>
      <w:r w:rsidR="002231C9">
        <w:t>we</w:t>
      </w:r>
      <w:r w:rsidRPr="00B7453A">
        <w:t xml:space="preserve">re experiencing significant delays in receiving treatment which is leading to suffering and deterioration </w:t>
      </w:r>
      <w:r>
        <w:t>in</w:t>
      </w:r>
      <w:r w:rsidR="00971205">
        <w:t xml:space="preserve"> </w:t>
      </w:r>
      <w:r>
        <w:t>patient</w:t>
      </w:r>
      <w:r w:rsidRPr="00B7453A">
        <w:t xml:space="preserve"> conditions which may affect </w:t>
      </w:r>
      <w:r>
        <w:t xml:space="preserve">their </w:t>
      </w:r>
      <w:r w:rsidRPr="00B7453A">
        <w:t>recovery.</w:t>
      </w:r>
      <w:r w:rsidR="00971205">
        <w:t xml:space="preserve">  It represents a</w:t>
      </w:r>
      <w:r w:rsidR="00043ACD">
        <w:t xml:space="preserve"> 16%</w:t>
      </w:r>
      <w:r w:rsidR="00971205">
        <w:t xml:space="preserve"> increase in the numbers on waiting lists compared with the year earlier position.</w:t>
      </w:r>
    </w:p>
    <w:p w:rsidR="00FC6542" w:rsidRDefault="00FC6542" w:rsidP="00FC6542">
      <w:pPr>
        <w:spacing w:after="120" w:line="240" w:lineRule="auto"/>
      </w:pPr>
    </w:p>
    <w:p w:rsidR="00937590" w:rsidRDefault="00937590" w:rsidP="00FC6542">
      <w:pPr>
        <w:spacing w:after="120" w:line="240" w:lineRule="auto"/>
      </w:pPr>
    </w:p>
    <w:p w:rsidR="00937590" w:rsidRDefault="00937590" w:rsidP="00FC6542">
      <w:pPr>
        <w:spacing w:after="120" w:line="240" w:lineRule="auto"/>
      </w:pPr>
    </w:p>
    <w:p w:rsidR="00937590" w:rsidRDefault="00937590" w:rsidP="00FC6542">
      <w:pPr>
        <w:spacing w:after="120" w:line="240" w:lineRule="auto"/>
      </w:pPr>
    </w:p>
    <w:p w:rsidR="00E2653F" w:rsidRDefault="00E2653F" w:rsidP="00FC6542">
      <w:pPr>
        <w:spacing w:after="120" w:line="240" w:lineRule="auto"/>
        <w:jc w:val="center"/>
        <w:rPr>
          <w:b/>
        </w:rPr>
      </w:pPr>
      <w:r>
        <w:rPr>
          <w:b/>
        </w:rPr>
        <w:t>Waiting lists</w:t>
      </w:r>
    </w:p>
    <w:tbl>
      <w:tblPr>
        <w:tblW w:w="0" w:type="auto"/>
        <w:jc w:val="right"/>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7"/>
        <w:gridCol w:w="1060"/>
        <w:gridCol w:w="968"/>
        <w:gridCol w:w="1060"/>
        <w:gridCol w:w="968"/>
        <w:gridCol w:w="1060"/>
        <w:gridCol w:w="1275"/>
      </w:tblGrid>
      <w:tr w:rsidR="00E2653F" w:rsidRPr="00F83CDF" w:rsidTr="00DE7305">
        <w:trPr>
          <w:jc w:val="right"/>
        </w:trPr>
        <w:tc>
          <w:tcPr>
            <w:tcW w:w="2507" w:type="dxa"/>
            <w:shd w:val="clear" w:color="auto" w:fill="548DD4"/>
          </w:tcPr>
          <w:p w:rsidR="00E2653F" w:rsidRPr="00F83CDF" w:rsidRDefault="00E2653F" w:rsidP="00E2653F">
            <w:pPr>
              <w:rPr>
                <w:sz w:val="23"/>
                <w:szCs w:val="23"/>
              </w:rPr>
            </w:pPr>
          </w:p>
        </w:tc>
        <w:tc>
          <w:tcPr>
            <w:tcW w:w="2028" w:type="dxa"/>
            <w:gridSpan w:val="2"/>
            <w:shd w:val="clear" w:color="auto" w:fill="548DD4"/>
          </w:tcPr>
          <w:p w:rsidR="00E2653F" w:rsidRPr="00F83CDF" w:rsidRDefault="00E2653F" w:rsidP="00E2653F">
            <w:pPr>
              <w:jc w:val="center"/>
              <w:rPr>
                <w:b/>
                <w:color w:val="FFFFFF"/>
                <w:sz w:val="23"/>
                <w:szCs w:val="23"/>
              </w:rPr>
            </w:pPr>
            <w:r>
              <w:rPr>
                <w:b/>
                <w:color w:val="FFFFFF"/>
                <w:sz w:val="23"/>
                <w:szCs w:val="23"/>
              </w:rPr>
              <w:t>In-patient</w:t>
            </w:r>
          </w:p>
        </w:tc>
        <w:tc>
          <w:tcPr>
            <w:tcW w:w="2028" w:type="dxa"/>
            <w:gridSpan w:val="2"/>
            <w:shd w:val="clear" w:color="auto" w:fill="548DD4"/>
          </w:tcPr>
          <w:p w:rsidR="00E2653F" w:rsidRPr="00F83CDF" w:rsidRDefault="00E2653F" w:rsidP="00E2653F">
            <w:pPr>
              <w:jc w:val="center"/>
              <w:rPr>
                <w:b/>
                <w:color w:val="FFFFFF"/>
                <w:sz w:val="23"/>
                <w:szCs w:val="23"/>
              </w:rPr>
            </w:pPr>
            <w:r w:rsidRPr="00F83CDF">
              <w:rPr>
                <w:b/>
                <w:color w:val="FFFFFF"/>
                <w:sz w:val="23"/>
                <w:szCs w:val="23"/>
              </w:rPr>
              <w:t>Day Case</w:t>
            </w:r>
          </w:p>
        </w:tc>
        <w:tc>
          <w:tcPr>
            <w:tcW w:w="2335" w:type="dxa"/>
            <w:gridSpan w:val="2"/>
            <w:shd w:val="clear" w:color="auto" w:fill="548DD4"/>
          </w:tcPr>
          <w:p w:rsidR="00E2653F" w:rsidRPr="00F83CDF" w:rsidRDefault="00E2653F" w:rsidP="00E2653F">
            <w:pPr>
              <w:jc w:val="center"/>
              <w:rPr>
                <w:b/>
                <w:color w:val="FFFFFF"/>
                <w:sz w:val="23"/>
                <w:szCs w:val="23"/>
              </w:rPr>
            </w:pPr>
            <w:r w:rsidRPr="00F83CDF">
              <w:rPr>
                <w:b/>
                <w:color w:val="FFFFFF"/>
                <w:sz w:val="23"/>
                <w:szCs w:val="23"/>
              </w:rPr>
              <w:t>Totals</w:t>
            </w:r>
          </w:p>
        </w:tc>
      </w:tr>
      <w:tr w:rsidR="00E2653F" w:rsidRPr="00F83CDF" w:rsidTr="00DE7305">
        <w:trPr>
          <w:jc w:val="right"/>
        </w:trPr>
        <w:tc>
          <w:tcPr>
            <w:tcW w:w="2507" w:type="dxa"/>
            <w:shd w:val="clear" w:color="auto" w:fill="548DD4"/>
          </w:tcPr>
          <w:p w:rsidR="00E2653F" w:rsidRPr="00F83CDF" w:rsidRDefault="00E2653F" w:rsidP="00E2653F">
            <w:pPr>
              <w:rPr>
                <w:sz w:val="23"/>
                <w:szCs w:val="23"/>
              </w:rPr>
            </w:pPr>
          </w:p>
        </w:tc>
        <w:tc>
          <w:tcPr>
            <w:tcW w:w="1060" w:type="dxa"/>
            <w:shd w:val="clear" w:color="auto" w:fill="548DD4"/>
          </w:tcPr>
          <w:p w:rsidR="00E2653F" w:rsidRPr="00F83CDF" w:rsidRDefault="00E2653F" w:rsidP="00E2653F">
            <w:pPr>
              <w:rPr>
                <w:b/>
                <w:i/>
                <w:color w:val="FFFFFF"/>
                <w:sz w:val="23"/>
                <w:szCs w:val="23"/>
              </w:rPr>
            </w:pPr>
            <w:r w:rsidRPr="00F83CDF">
              <w:rPr>
                <w:b/>
                <w:i/>
                <w:color w:val="FFFFFF"/>
                <w:sz w:val="23"/>
                <w:szCs w:val="23"/>
              </w:rPr>
              <w:t>Children</w:t>
            </w:r>
          </w:p>
        </w:tc>
        <w:tc>
          <w:tcPr>
            <w:tcW w:w="968" w:type="dxa"/>
            <w:shd w:val="clear" w:color="auto" w:fill="548DD4"/>
          </w:tcPr>
          <w:p w:rsidR="00E2653F" w:rsidRPr="00F83CDF" w:rsidRDefault="00E2653F" w:rsidP="00E2653F">
            <w:pPr>
              <w:rPr>
                <w:b/>
                <w:i/>
                <w:color w:val="FFFFFF"/>
                <w:sz w:val="23"/>
                <w:szCs w:val="23"/>
              </w:rPr>
            </w:pPr>
            <w:r w:rsidRPr="00F83CDF">
              <w:rPr>
                <w:b/>
                <w:i/>
                <w:color w:val="FFFFFF"/>
                <w:sz w:val="23"/>
                <w:szCs w:val="23"/>
              </w:rPr>
              <w:t>Adults</w:t>
            </w:r>
          </w:p>
        </w:tc>
        <w:tc>
          <w:tcPr>
            <w:tcW w:w="1060" w:type="dxa"/>
            <w:shd w:val="clear" w:color="auto" w:fill="548DD4"/>
          </w:tcPr>
          <w:p w:rsidR="00E2653F" w:rsidRPr="00F83CDF" w:rsidRDefault="00E2653F" w:rsidP="00E2653F">
            <w:pPr>
              <w:rPr>
                <w:b/>
                <w:i/>
                <w:color w:val="FFFFFF"/>
                <w:sz w:val="23"/>
                <w:szCs w:val="23"/>
              </w:rPr>
            </w:pPr>
            <w:r w:rsidRPr="00F83CDF">
              <w:rPr>
                <w:b/>
                <w:i/>
                <w:color w:val="FFFFFF"/>
                <w:sz w:val="23"/>
                <w:szCs w:val="23"/>
              </w:rPr>
              <w:t>Children</w:t>
            </w:r>
          </w:p>
        </w:tc>
        <w:tc>
          <w:tcPr>
            <w:tcW w:w="968" w:type="dxa"/>
            <w:shd w:val="clear" w:color="auto" w:fill="548DD4"/>
          </w:tcPr>
          <w:p w:rsidR="00E2653F" w:rsidRPr="00F83CDF" w:rsidRDefault="00E2653F" w:rsidP="00E2653F">
            <w:pPr>
              <w:rPr>
                <w:b/>
                <w:i/>
                <w:color w:val="FFFFFF"/>
                <w:sz w:val="23"/>
                <w:szCs w:val="23"/>
              </w:rPr>
            </w:pPr>
            <w:r w:rsidRPr="00F83CDF">
              <w:rPr>
                <w:b/>
                <w:i/>
                <w:color w:val="FFFFFF"/>
                <w:sz w:val="23"/>
                <w:szCs w:val="23"/>
              </w:rPr>
              <w:t>Adults</w:t>
            </w:r>
          </w:p>
        </w:tc>
        <w:tc>
          <w:tcPr>
            <w:tcW w:w="1060" w:type="dxa"/>
            <w:shd w:val="clear" w:color="auto" w:fill="548DD4"/>
          </w:tcPr>
          <w:p w:rsidR="00E2653F" w:rsidRPr="00F83CDF" w:rsidRDefault="00E2653F" w:rsidP="00E2653F">
            <w:pPr>
              <w:rPr>
                <w:b/>
                <w:i/>
                <w:color w:val="FFFFFF"/>
                <w:sz w:val="23"/>
                <w:szCs w:val="23"/>
              </w:rPr>
            </w:pPr>
            <w:r w:rsidRPr="00F83CDF">
              <w:rPr>
                <w:b/>
                <w:i/>
                <w:color w:val="FFFFFF"/>
                <w:sz w:val="23"/>
                <w:szCs w:val="23"/>
              </w:rPr>
              <w:t>Children</w:t>
            </w:r>
          </w:p>
        </w:tc>
        <w:tc>
          <w:tcPr>
            <w:tcW w:w="1275" w:type="dxa"/>
            <w:shd w:val="clear" w:color="auto" w:fill="548DD4"/>
          </w:tcPr>
          <w:p w:rsidR="00E2653F" w:rsidRPr="00F83CDF" w:rsidRDefault="00E2653F" w:rsidP="00E2653F">
            <w:pPr>
              <w:rPr>
                <w:b/>
                <w:i/>
                <w:color w:val="FFFFFF"/>
                <w:sz w:val="23"/>
                <w:szCs w:val="23"/>
              </w:rPr>
            </w:pPr>
            <w:r w:rsidRPr="00F83CDF">
              <w:rPr>
                <w:b/>
                <w:i/>
                <w:color w:val="FFFFFF"/>
                <w:sz w:val="23"/>
                <w:szCs w:val="23"/>
              </w:rPr>
              <w:t>Adults</w:t>
            </w:r>
          </w:p>
        </w:tc>
      </w:tr>
      <w:tr w:rsidR="00E2653F" w:rsidRPr="00F83CDF" w:rsidTr="00DE7305">
        <w:trPr>
          <w:jc w:val="right"/>
        </w:trPr>
        <w:tc>
          <w:tcPr>
            <w:tcW w:w="2507" w:type="dxa"/>
          </w:tcPr>
          <w:p w:rsidR="00E2653F" w:rsidRPr="00F83CDF" w:rsidRDefault="00E2653F" w:rsidP="00E2653F">
            <w:pPr>
              <w:rPr>
                <w:sz w:val="23"/>
                <w:szCs w:val="23"/>
              </w:rPr>
            </w:pPr>
            <w:r w:rsidRPr="00F83CDF">
              <w:rPr>
                <w:sz w:val="23"/>
                <w:szCs w:val="23"/>
              </w:rPr>
              <w:t>New Hospital Referrals 0-3 months</w:t>
            </w:r>
          </w:p>
        </w:tc>
        <w:tc>
          <w:tcPr>
            <w:tcW w:w="1060" w:type="dxa"/>
          </w:tcPr>
          <w:p w:rsidR="00E2653F" w:rsidRDefault="00E2653F" w:rsidP="00E2653F">
            <w:pPr>
              <w:pStyle w:val="NoSpacing"/>
            </w:pPr>
            <w:r>
              <w:t>(</w:t>
            </w:r>
            <w:r w:rsidRPr="00F83CDF">
              <w:t>960</w:t>
            </w:r>
            <w:r>
              <w:t>)</w:t>
            </w:r>
          </w:p>
          <w:p w:rsidR="00E2653F" w:rsidRPr="00F83CDF" w:rsidRDefault="00E2653F" w:rsidP="00E2653F">
            <w:pPr>
              <w:pStyle w:val="NoSpacing"/>
            </w:pPr>
            <w:r>
              <w:t xml:space="preserve">  975</w:t>
            </w:r>
          </w:p>
        </w:tc>
        <w:tc>
          <w:tcPr>
            <w:tcW w:w="968" w:type="dxa"/>
          </w:tcPr>
          <w:p w:rsidR="00E2653F" w:rsidRDefault="00E2653F" w:rsidP="00E2653F">
            <w:pPr>
              <w:pStyle w:val="NoSpacing"/>
            </w:pPr>
            <w:r>
              <w:t>(</w:t>
            </w:r>
            <w:r w:rsidRPr="00F83CDF">
              <w:t>6,374</w:t>
            </w:r>
            <w:r>
              <w:t>)</w:t>
            </w:r>
          </w:p>
          <w:p w:rsidR="00E2653F" w:rsidRPr="00F83CDF" w:rsidRDefault="00E2653F" w:rsidP="00E2653F">
            <w:pPr>
              <w:pStyle w:val="NoSpacing"/>
            </w:pPr>
            <w:r>
              <w:t xml:space="preserve">  6,474</w:t>
            </w:r>
          </w:p>
        </w:tc>
        <w:tc>
          <w:tcPr>
            <w:tcW w:w="1060" w:type="dxa"/>
          </w:tcPr>
          <w:p w:rsidR="00E2653F" w:rsidRDefault="00E2653F" w:rsidP="00E2653F">
            <w:pPr>
              <w:pStyle w:val="NoSpacing"/>
            </w:pPr>
            <w:r>
              <w:t>(</w:t>
            </w:r>
            <w:r w:rsidRPr="00F83CDF">
              <w:t>1,198</w:t>
            </w:r>
            <w:r>
              <w:t>)</w:t>
            </w:r>
          </w:p>
          <w:p w:rsidR="00E2653F" w:rsidRPr="00F83CDF" w:rsidRDefault="00E2653F" w:rsidP="00E2653F">
            <w:pPr>
              <w:pStyle w:val="NoSpacing"/>
            </w:pPr>
            <w:r>
              <w:t xml:space="preserve">  1,446</w:t>
            </w:r>
          </w:p>
        </w:tc>
        <w:tc>
          <w:tcPr>
            <w:tcW w:w="968" w:type="dxa"/>
          </w:tcPr>
          <w:p w:rsidR="00E2653F" w:rsidRDefault="00E2653F" w:rsidP="00E2653F">
            <w:pPr>
              <w:pStyle w:val="NoSpacing"/>
            </w:pPr>
            <w:r>
              <w:t>(</w:t>
            </w:r>
            <w:r w:rsidRPr="00F83CDF">
              <w:t>12,900</w:t>
            </w:r>
            <w:r>
              <w:t>)</w:t>
            </w:r>
          </w:p>
          <w:p w:rsidR="00E2653F" w:rsidRPr="00F83CDF" w:rsidRDefault="00E2653F" w:rsidP="00E2653F">
            <w:pPr>
              <w:pStyle w:val="NoSpacing"/>
            </w:pPr>
            <w:r>
              <w:t xml:space="preserve">  17,795</w:t>
            </w:r>
          </w:p>
        </w:tc>
        <w:tc>
          <w:tcPr>
            <w:tcW w:w="1060" w:type="dxa"/>
          </w:tcPr>
          <w:p w:rsidR="00E2653F" w:rsidRDefault="00E2653F" w:rsidP="00E2653F">
            <w:pPr>
              <w:pStyle w:val="NoSpacing"/>
            </w:pPr>
            <w:r>
              <w:t>(</w:t>
            </w:r>
            <w:r w:rsidRPr="00F83CDF">
              <w:t>2,158</w:t>
            </w:r>
            <w:r>
              <w:t>)</w:t>
            </w:r>
          </w:p>
          <w:p w:rsidR="00E2653F" w:rsidRPr="00F83CDF" w:rsidRDefault="00E2653F" w:rsidP="00FC6542">
            <w:pPr>
              <w:pStyle w:val="NoSpacing"/>
            </w:pPr>
            <w:r>
              <w:t xml:space="preserve">  2,42</w:t>
            </w:r>
            <w:r w:rsidR="00FC6542">
              <w:t>1</w:t>
            </w:r>
          </w:p>
        </w:tc>
        <w:tc>
          <w:tcPr>
            <w:tcW w:w="1275" w:type="dxa"/>
          </w:tcPr>
          <w:p w:rsidR="00E2653F" w:rsidRDefault="00E2653F" w:rsidP="00E2653F">
            <w:pPr>
              <w:pStyle w:val="NoSpacing"/>
            </w:pPr>
            <w:r>
              <w:t>(</w:t>
            </w:r>
            <w:r w:rsidRPr="00F83CDF">
              <w:t>19,276</w:t>
            </w:r>
            <w:r>
              <w:t>)</w:t>
            </w:r>
          </w:p>
          <w:p w:rsidR="00E2653F" w:rsidRPr="00F83CDF" w:rsidRDefault="00E2653F" w:rsidP="00E2653F">
            <w:pPr>
              <w:pStyle w:val="NoSpacing"/>
            </w:pPr>
            <w:r>
              <w:t xml:space="preserve">  24,269</w:t>
            </w:r>
          </w:p>
        </w:tc>
      </w:tr>
      <w:tr w:rsidR="00E2653F" w:rsidRPr="00F83CDF" w:rsidTr="00DE7305">
        <w:trPr>
          <w:jc w:val="right"/>
        </w:trPr>
        <w:tc>
          <w:tcPr>
            <w:tcW w:w="2507" w:type="dxa"/>
          </w:tcPr>
          <w:p w:rsidR="00E2653F" w:rsidRPr="00F83CDF" w:rsidRDefault="00E2653F" w:rsidP="00E2653F">
            <w:pPr>
              <w:pStyle w:val="NoSpacing"/>
            </w:pPr>
            <w:r w:rsidRPr="00F83CDF">
              <w:t>National Waiting List</w:t>
            </w:r>
          </w:p>
          <w:p w:rsidR="00E2653F" w:rsidRPr="00F83CDF" w:rsidRDefault="00E2653F" w:rsidP="00E2653F">
            <w:pPr>
              <w:pStyle w:val="NoSpacing"/>
            </w:pPr>
            <w:r w:rsidRPr="00F83CDF">
              <w:t>(+3 months)</w:t>
            </w:r>
          </w:p>
        </w:tc>
        <w:tc>
          <w:tcPr>
            <w:tcW w:w="1060" w:type="dxa"/>
          </w:tcPr>
          <w:p w:rsidR="00E2653F" w:rsidRDefault="00E2653F" w:rsidP="00E2653F">
            <w:pPr>
              <w:pStyle w:val="NoSpacing"/>
            </w:pPr>
            <w:r>
              <w:t>(</w:t>
            </w:r>
            <w:r w:rsidRPr="00F83CDF">
              <w:t>1,376</w:t>
            </w:r>
            <w:r>
              <w:t>)</w:t>
            </w:r>
          </w:p>
          <w:p w:rsidR="00E2653F" w:rsidRPr="00F83CDF" w:rsidRDefault="00E2653F" w:rsidP="00E2653F">
            <w:pPr>
              <w:pStyle w:val="NoSpacing"/>
            </w:pPr>
            <w:r>
              <w:t xml:space="preserve">  1,158</w:t>
            </w:r>
          </w:p>
        </w:tc>
        <w:tc>
          <w:tcPr>
            <w:tcW w:w="968" w:type="dxa"/>
          </w:tcPr>
          <w:p w:rsidR="00E2653F" w:rsidRDefault="00E2653F" w:rsidP="00E2653F">
            <w:pPr>
              <w:pStyle w:val="NoSpacing"/>
            </w:pPr>
            <w:r>
              <w:t>(</w:t>
            </w:r>
            <w:r w:rsidRPr="00F83CDF">
              <w:t>7,013</w:t>
            </w:r>
            <w:r>
              <w:t>)</w:t>
            </w:r>
          </w:p>
          <w:p w:rsidR="00E2653F" w:rsidRPr="00F83CDF" w:rsidRDefault="00E2653F" w:rsidP="00E2653F">
            <w:pPr>
              <w:pStyle w:val="NoSpacing"/>
            </w:pPr>
            <w:r>
              <w:t xml:space="preserve">  6,599</w:t>
            </w:r>
          </w:p>
        </w:tc>
        <w:tc>
          <w:tcPr>
            <w:tcW w:w="1060" w:type="dxa"/>
          </w:tcPr>
          <w:p w:rsidR="00E2653F" w:rsidRDefault="00E2653F" w:rsidP="00E2653F">
            <w:pPr>
              <w:pStyle w:val="NoSpacing"/>
            </w:pPr>
            <w:r>
              <w:t>(</w:t>
            </w:r>
            <w:r w:rsidRPr="00F83CDF">
              <w:t>1,914</w:t>
            </w:r>
            <w:r>
              <w:t>)</w:t>
            </w:r>
          </w:p>
          <w:p w:rsidR="00E2653F" w:rsidRPr="00F83CDF" w:rsidRDefault="00E2653F" w:rsidP="00E2653F">
            <w:pPr>
              <w:pStyle w:val="NoSpacing"/>
            </w:pPr>
            <w:r>
              <w:t xml:space="preserve">  1,481</w:t>
            </w:r>
          </w:p>
        </w:tc>
        <w:tc>
          <w:tcPr>
            <w:tcW w:w="968" w:type="dxa"/>
          </w:tcPr>
          <w:p w:rsidR="00E2653F" w:rsidRDefault="00E2653F" w:rsidP="00E2653F">
            <w:pPr>
              <w:pStyle w:val="NoSpacing"/>
            </w:pPr>
            <w:r>
              <w:t>(</w:t>
            </w:r>
            <w:r w:rsidRPr="00F83CDF">
              <w:t>8,383</w:t>
            </w:r>
            <w:r>
              <w:t>)</w:t>
            </w:r>
          </w:p>
          <w:p w:rsidR="00E2653F" w:rsidRPr="00F83CDF" w:rsidRDefault="00E2653F" w:rsidP="00E2653F">
            <w:pPr>
              <w:pStyle w:val="NoSpacing"/>
            </w:pPr>
            <w:r>
              <w:t>10,532</w:t>
            </w:r>
          </w:p>
        </w:tc>
        <w:tc>
          <w:tcPr>
            <w:tcW w:w="1060" w:type="dxa"/>
          </w:tcPr>
          <w:p w:rsidR="00E2653F" w:rsidRDefault="00E2653F" w:rsidP="00E2653F">
            <w:pPr>
              <w:pStyle w:val="NoSpacing"/>
            </w:pPr>
            <w:r>
              <w:t>(</w:t>
            </w:r>
            <w:r w:rsidRPr="00F83CDF">
              <w:t>3,290</w:t>
            </w:r>
            <w:r>
              <w:t>)</w:t>
            </w:r>
          </w:p>
          <w:p w:rsidR="00E2653F" w:rsidRPr="00F83CDF" w:rsidRDefault="00E2653F" w:rsidP="00E2653F">
            <w:pPr>
              <w:pStyle w:val="NoSpacing"/>
            </w:pPr>
            <w:r>
              <w:t xml:space="preserve">  2,639</w:t>
            </w:r>
          </w:p>
        </w:tc>
        <w:tc>
          <w:tcPr>
            <w:tcW w:w="1275" w:type="dxa"/>
          </w:tcPr>
          <w:p w:rsidR="00E2653F" w:rsidRDefault="00E2653F" w:rsidP="00E2653F">
            <w:pPr>
              <w:pStyle w:val="NoSpacing"/>
            </w:pPr>
            <w:r>
              <w:t>(</w:t>
            </w:r>
            <w:r w:rsidRPr="00F83CDF">
              <w:t>15,396</w:t>
            </w:r>
            <w:r>
              <w:t>)</w:t>
            </w:r>
          </w:p>
          <w:p w:rsidR="00E2653F" w:rsidRPr="00F83CDF" w:rsidRDefault="00E2653F" w:rsidP="00E2653F">
            <w:pPr>
              <w:pStyle w:val="NoSpacing"/>
            </w:pPr>
            <w:r>
              <w:t xml:space="preserve">  17,131</w:t>
            </w:r>
          </w:p>
        </w:tc>
      </w:tr>
      <w:tr w:rsidR="00E2653F" w:rsidRPr="00F83CDF" w:rsidTr="00DE7305">
        <w:trPr>
          <w:jc w:val="right"/>
        </w:trPr>
        <w:tc>
          <w:tcPr>
            <w:tcW w:w="2507" w:type="dxa"/>
            <w:tcBorders>
              <w:bottom w:val="single" w:sz="4" w:space="0" w:color="auto"/>
            </w:tcBorders>
          </w:tcPr>
          <w:p w:rsidR="00E2653F" w:rsidRPr="00E2653F" w:rsidRDefault="00E2653F" w:rsidP="00E2653F">
            <w:pPr>
              <w:pStyle w:val="NoSpacing"/>
              <w:rPr>
                <w:b/>
              </w:rPr>
            </w:pPr>
            <w:r w:rsidRPr="00E2653F">
              <w:rPr>
                <w:b/>
              </w:rPr>
              <w:t>Totals</w:t>
            </w:r>
          </w:p>
        </w:tc>
        <w:tc>
          <w:tcPr>
            <w:tcW w:w="1060" w:type="dxa"/>
            <w:tcBorders>
              <w:bottom w:val="single" w:sz="4" w:space="0" w:color="auto"/>
            </w:tcBorders>
          </w:tcPr>
          <w:p w:rsidR="00E2653F" w:rsidRPr="00E2653F" w:rsidRDefault="00E2653F" w:rsidP="00E2653F">
            <w:pPr>
              <w:pStyle w:val="NoSpacing"/>
              <w:rPr>
                <w:b/>
              </w:rPr>
            </w:pPr>
            <w:r w:rsidRPr="00E2653F">
              <w:rPr>
                <w:b/>
              </w:rPr>
              <w:t>(2,336)</w:t>
            </w:r>
          </w:p>
          <w:p w:rsidR="00E2653F" w:rsidRPr="00E2653F" w:rsidRDefault="00E2653F" w:rsidP="00E2653F">
            <w:pPr>
              <w:pStyle w:val="NoSpacing"/>
              <w:rPr>
                <w:b/>
              </w:rPr>
            </w:pPr>
            <w:r w:rsidRPr="00E2653F">
              <w:rPr>
                <w:b/>
              </w:rPr>
              <w:t xml:space="preserve">  2,133</w:t>
            </w:r>
          </w:p>
          <w:p w:rsidR="00E2653F" w:rsidRPr="00E2653F" w:rsidRDefault="00E2653F" w:rsidP="00E2653F">
            <w:pPr>
              <w:pStyle w:val="NoSpacing"/>
              <w:rPr>
                <w:b/>
              </w:rPr>
            </w:pPr>
          </w:p>
        </w:tc>
        <w:tc>
          <w:tcPr>
            <w:tcW w:w="968" w:type="dxa"/>
            <w:tcBorders>
              <w:bottom w:val="single" w:sz="4" w:space="0" w:color="auto"/>
            </w:tcBorders>
          </w:tcPr>
          <w:p w:rsidR="00E2653F" w:rsidRPr="00E2653F" w:rsidRDefault="00E2653F" w:rsidP="00E2653F">
            <w:pPr>
              <w:pStyle w:val="NoSpacing"/>
              <w:rPr>
                <w:b/>
              </w:rPr>
            </w:pPr>
            <w:r w:rsidRPr="00E2653F">
              <w:rPr>
                <w:b/>
              </w:rPr>
              <w:t>(13,389)</w:t>
            </w:r>
          </w:p>
          <w:p w:rsidR="00E2653F" w:rsidRPr="00E2653F" w:rsidRDefault="00E2653F" w:rsidP="00E2653F">
            <w:pPr>
              <w:pStyle w:val="NoSpacing"/>
              <w:rPr>
                <w:b/>
              </w:rPr>
            </w:pPr>
            <w:r w:rsidRPr="00E2653F">
              <w:rPr>
                <w:b/>
              </w:rPr>
              <w:t xml:space="preserve">  13,073</w:t>
            </w:r>
          </w:p>
        </w:tc>
        <w:tc>
          <w:tcPr>
            <w:tcW w:w="1060" w:type="dxa"/>
            <w:tcBorders>
              <w:bottom w:val="single" w:sz="4" w:space="0" w:color="auto"/>
            </w:tcBorders>
          </w:tcPr>
          <w:p w:rsidR="00E2653F" w:rsidRPr="00E2653F" w:rsidRDefault="00E2653F" w:rsidP="00E2653F">
            <w:pPr>
              <w:pStyle w:val="NoSpacing"/>
              <w:rPr>
                <w:b/>
              </w:rPr>
            </w:pPr>
            <w:r w:rsidRPr="00E2653F">
              <w:rPr>
                <w:b/>
              </w:rPr>
              <w:t>(3,112)</w:t>
            </w:r>
          </w:p>
          <w:p w:rsidR="00E2653F" w:rsidRPr="00E2653F" w:rsidRDefault="00E2653F" w:rsidP="00E2653F">
            <w:pPr>
              <w:pStyle w:val="NoSpacing"/>
              <w:rPr>
                <w:b/>
              </w:rPr>
            </w:pPr>
            <w:r w:rsidRPr="00E2653F">
              <w:rPr>
                <w:b/>
              </w:rPr>
              <w:t xml:space="preserve">  2,927</w:t>
            </w:r>
          </w:p>
        </w:tc>
        <w:tc>
          <w:tcPr>
            <w:tcW w:w="968" w:type="dxa"/>
            <w:tcBorders>
              <w:bottom w:val="single" w:sz="4" w:space="0" w:color="auto"/>
            </w:tcBorders>
          </w:tcPr>
          <w:p w:rsidR="00E2653F" w:rsidRPr="00E2653F" w:rsidRDefault="00E2653F" w:rsidP="00E2653F">
            <w:pPr>
              <w:pStyle w:val="NoSpacing"/>
              <w:rPr>
                <w:b/>
              </w:rPr>
            </w:pPr>
            <w:r w:rsidRPr="00E2653F">
              <w:rPr>
                <w:b/>
              </w:rPr>
              <w:t>(21,283)</w:t>
            </w:r>
          </w:p>
          <w:p w:rsidR="00E2653F" w:rsidRPr="00E2653F" w:rsidRDefault="00E2653F" w:rsidP="009651C8">
            <w:pPr>
              <w:pStyle w:val="NoSpacing"/>
              <w:rPr>
                <w:b/>
              </w:rPr>
            </w:pPr>
            <w:r w:rsidRPr="00E2653F">
              <w:rPr>
                <w:b/>
              </w:rPr>
              <w:t xml:space="preserve">  </w:t>
            </w:r>
            <w:r w:rsidR="009651C8">
              <w:rPr>
                <w:b/>
              </w:rPr>
              <w:t>28,327</w:t>
            </w:r>
          </w:p>
        </w:tc>
        <w:tc>
          <w:tcPr>
            <w:tcW w:w="1060" w:type="dxa"/>
            <w:tcBorders>
              <w:bottom w:val="single" w:sz="4" w:space="0" w:color="auto"/>
            </w:tcBorders>
          </w:tcPr>
          <w:p w:rsidR="00E2653F" w:rsidRPr="00E2653F" w:rsidRDefault="00E2653F" w:rsidP="00E2653F">
            <w:pPr>
              <w:pStyle w:val="NoSpacing"/>
              <w:rPr>
                <w:b/>
              </w:rPr>
            </w:pPr>
            <w:r w:rsidRPr="00E2653F">
              <w:rPr>
                <w:b/>
              </w:rPr>
              <w:t>(5,448)</w:t>
            </w:r>
          </w:p>
          <w:p w:rsidR="00E2653F" w:rsidRPr="00E2653F" w:rsidRDefault="00E2653F" w:rsidP="00E2653F">
            <w:pPr>
              <w:pStyle w:val="NoSpacing"/>
              <w:rPr>
                <w:b/>
              </w:rPr>
            </w:pPr>
            <w:r w:rsidRPr="00E2653F">
              <w:rPr>
                <w:b/>
              </w:rPr>
              <w:t xml:space="preserve">  5,060</w:t>
            </w:r>
          </w:p>
        </w:tc>
        <w:tc>
          <w:tcPr>
            <w:tcW w:w="1275" w:type="dxa"/>
            <w:tcBorders>
              <w:bottom w:val="single" w:sz="4" w:space="0" w:color="auto"/>
            </w:tcBorders>
          </w:tcPr>
          <w:p w:rsidR="00E2653F" w:rsidRPr="00E2653F" w:rsidRDefault="00E2653F" w:rsidP="00E2653F">
            <w:pPr>
              <w:pStyle w:val="NoSpacing"/>
              <w:rPr>
                <w:b/>
              </w:rPr>
            </w:pPr>
            <w:r w:rsidRPr="00E2653F">
              <w:rPr>
                <w:b/>
              </w:rPr>
              <w:t>(34,672)</w:t>
            </w:r>
          </w:p>
          <w:p w:rsidR="00E2653F" w:rsidRPr="00E2653F" w:rsidRDefault="00E2653F" w:rsidP="00E2653F">
            <w:pPr>
              <w:pStyle w:val="NoSpacing"/>
              <w:rPr>
                <w:b/>
              </w:rPr>
            </w:pPr>
            <w:r w:rsidRPr="00E2653F">
              <w:rPr>
                <w:b/>
              </w:rPr>
              <w:t xml:space="preserve">  41,400</w:t>
            </w:r>
          </w:p>
        </w:tc>
      </w:tr>
      <w:tr w:rsidR="00E2653F" w:rsidRPr="00F83CDF" w:rsidTr="00DE7305">
        <w:trPr>
          <w:jc w:val="right"/>
        </w:trPr>
        <w:tc>
          <w:tcPr>
            <w:tcW w:w="2507" w:type="dxa"/>
            <w:shd w:val="clear" w:color="auto" w:fill="DBE5F1"/>
          </w:tcPr>
          <w:p w:rsidR="00E2653F" w:rsidRPr="00F83CDF" w:rsidRDefault="00E2653F" w:rsidP="00E2653F">
            <w:pPr>
              <w:rPr>
                <w:b/>
                <w:sz w:val="23"/>
                <w:szCs w:val="23"/>
              </w:rPr>
            </w:pPr>
            <w:r w:rsidRPr="00F83CDF">
              <w:rPr>
                <w:b/>
                <w:sz w:val="23"/>
                <w:szCs w:val="23"/>
              </w:rPr>
              <w:t>Grand Total</w:t>
            </w:r>
          </w:p>
        </w:tc>
        <w:tc>
          <w:tcPr>
            <w:tcW w:w="2028" w:type="dxa"/>
            <w:gridSpan w:val="2"/>
            <w:shd w:val="clear" w:color="auto" w:fill="DBE5F1"/>
          </w:tcPr>
          <w:p w:rsidR="00E2653F" w:rsidRDefault="00E2653F" w:rsidP="00FC6542">
            <w:pPr>
              <w:pStyle w:val="NoSpacing"/>
              <w:jc w:val="right"/>
              <w:rPr>
                <w:b/>
              </w:rPr>
            </w:pPr>
            <w:r>
              <w:rPr>
                <w:b/>
              </w:rPr>
              <w:t>(</w:t>
            </w:r>
            <w:r w:rsidRPr="00E2653F">
              <w:rPr>
                <w:b/>
              </w:rPr>
              <w:t>15,725</w:t>
            </w:r>
            <w:r>
              <w:rPr>
                <w:b/>
              </w:rPr>
              <w:t>)</w:t>
            </w:r>
          </w:p>
          <w:p w:rsidR="00E2653F" w:rsidRPr="00E2653F" w:rsidRDefault="00E2653F" w:rsidP="00FC6542">
            <w:pPr>
              <w:pStyle w:val="NoSpacing"/>
              <w:jc w:val="right"/>
              <w:rPr>
                <w:b/>
              </w:rPr>
            </w:pPr>
            <w:r>
              <w:rPr>
                <w:b/>
              </w:rPr>
              <w:t xml:space="preserve">  15,206</w:t>
            </w:r>
          </w:p>
        </w:tc>
        <w:tc>
          <w:tcPr>
            <w:tcW w:w="2028" w:type="dxa"/>
            <w:gridSpan w:val="2"/>
            <w:shd w:val="clear" w:color="auto" w:fill="DBE5F1"/>
          </w:tcPr>
          <w:p w:rsidR="00E2653F" w:rsidRDefault="00E2653F" w:rsidP="00FC6542">
            <w:pPr>
              <w:pStyle w:val="NoSpacing"/>
              <w:jc w:val="right"/>
              <w:rPr>
                <w:b/>
              </w:rPr>
            </w:pPr>
            <w:r>
              <w:rPr>
                <w:b/>
              </w:rPr>
              <w:t>(</w:t>
            </w:r>
            <w:r w:rsidRPr="00E2653F">
              <w:rPr>
                <w:b/>
              </w:rPr>
              <w:t>24,395</w:t>
            </w:r>
            <w:r>
              <w:rPr>
                <w:b/>
              </w:rPr>
              <w:t>)</w:t>
            </w:r>
          </w:p>
          <w:p w:rsidR="00E2653F" w:rsidRPr="00E2653F" w:rsidRDefault="00E2653F" w:rsidP="00FC6542">
            <w:pPr>
              <w:pStyle w:val="NoSpacing"/>
              <w:jc w:val="right"/>
              <w:rPr>
                <w:b/>
              </w:rPr>
            </w:pPr>
            <w:r>
              <w:rPr>
                <w:b/>
              </w:rPr>
              <w:t xml:space="preserve">  31,254</w:t>
            </w:r>
          </w:p>
        </w:tc>
        <w:tc>
          <w:tcPr>
            <w:tcW w:w="2335" w:type="dxa"/>
            <w:gridSpan w:val="2"/>
            <w:shd w:val="clear" w:color="auto" w:fill="DBE5F1"/>
          </w:tcPr>
          <w:p w:rsidR="00E2653F" w:rsidRDefault="00E2653F" w:rsidP="00FC6542">
            <w:pPr>
              <w:pStyle w:val="NoSpacing"/>
              <w:jc w:val="right"/>
              <w:rPr>
                <w:b/>
              </w:rPr>
            </w:pPr>
            <w:r>
              <w:rPr>
                <w:b/>
              </w:rPr>
              <w:t>(</w:t>
            </w:r>
            <w:r w:rsidRPr="00E2653F">
              <w:rPr>
                <w:b/>
              </w:rPr>
              <w:t>40,120</w:t>
            </w:r>
            <w:r>
              <w:rPr>
                <w:b/>
              </w:rPr>
              <w:t>)</w:t>
            </w:r>
          </w:p>
          <w:p w:rsidR="00E2653F" w:rsidRPr="00E2653F" w:rsidRDefault="00E2653F" w:rsidP="00FC6542">
            <w:pPr>
              <w:pStyle w:val="NoSpacing"/>
              <w:jc w:val="right"/>
              <w:rPr>
                <w:b/>
              </w:rPr>
            </w:pPr>
            <w:r>
              <w:rPr>
                <w:b/>
              </w:rPr>
              <w:t xml:space="preserve">  46,460</w:t>
            </w:r>
          </w:p>
        </w:tc>
      </w:tr>
      <w:tr w:rsidR="00E2653F" w:rsidRPr="00F83CDF" w:rsidTr="00DE7305">
        <w:trPr>
          <w:jc w:val="right"/>
        </w:trPr>
        <w:tc>
          <w:tcPr>
            <w:tcW w:w="2507" w:type="dxa"/>
            <w:shd w:val="clear" w:color="auto" w:fill="DBE5F1"/>
          </w:tcPr>
          <w:p w:rsidR="00E2653F" w:rsidRDefault="00E2653F" w:rsidP="00DE7305">
            <w:pPr>
              <w:pStyle w:val="NoSpacing"/>
            </w:pPr>
            <w:r w:rsidRPr="00F83CDF">
              <w:t xml:space="preserve">% 2009 Targets </w:t>
            </w:r>
          </w:p>
          <w:p w:rsidR="00DE7305" w:rsidRPr="00F83CDF" w:rsidRDefault="00DE7305" w:rsidP="00DE7305">
            <w:pPr>
              <w:pStyle w:val="NoSpacing"/>
            </w:pPr>
            <w:r>
              <w:t>% 2010 Targets</w:t>
            </w:r>
          </w:p>
        </w:tc>
        <w:tc>
          <w:tcPr>
            <w:tcW w:w="2028" w:type="dxa"/>
            <w:gridSpan w:val="2"/>
            <w:shd w:val="clear" w:color="auto" w:fill="DBE5F1"/>
          </w:tcPr>
          <w:p w:rsidR="00E2653F" w:rsidRDefault="00DE7305" w:rsidP="00FC6542">
            <w:pPr>
              <w:pStyle w:val="NoSpacing"/>
              <w:jc w:val="right"/>
            </w:pPr>
            <w:r>
              <w:t>(</w:t>
            </w:r>
            <w:r w:rsidR="00E2653F" w:rsidRPr="00F83CDF">
              <w:t>2.7%</w:t>
            </w:r>
            <w:r>
              <w:t>)</w:t>
            </w:r>
          </w:p>
          <w:p w:rsidR="00DE7305" w:rsidRPr="00F83CDF" w:rsidRDefault="00DE7305" w:rsidP="00FC6542">
            <w:pPr>
              <w:pStyle w:val="NoSpacing"/>
              <w:jc w:val="right"/>
            </w:pPr>
            <w:r>
              <w:t xml:space="preserve">  2.8%</w:t>
            </w:r>
          </w:p>
        </w:tc>
        <w:tc>
          <w:tcPr>
            <w:tcW w:w="2028" w:type="dxa"/>
            <w:gridSpan w:val="2"/>
            <w:shd w:val="clear" w:color="auto" w:fill="DBE5F1"/>
          </w:tcPr>
          <w:p w:rsidR="00E2653F" w:rsidRDefault="00DE7305" w:rsidP="00FC6542">
            <w:pPr>
              <w:pStyle w:val="NoSpacing"/>
              <w:jc w:val="right"/>
            </w:pPr>
            <w:r>
              <w:t>(</w:t>
            </w:r>
            <w:r w:rsidR="00E2653F" w:rsidRPr="00F83CDF">
              <w:t>3.8%</w:t>
            </w:r>
            <w:r>
              <w:t>)</w:t>
            </w:r>
          </w:p>
          <w:p w:rsidR="00DE7305" w:rsidRPr="00F83CDF" w:rsidRDefault="00DE7305" w:rsidP="00FC6542">
            <w:pPr>
              <w:pStyle w:val="NoSpacing"/>
              <w:jc w:val="right"/>
            </w:pPr>
            <w:r>
              <w:t xml:space="preserve">  4.5%</w:t>
            </w:r>
          </w:p>
        </w:tc>
        <w:tc>
          <w:tcPr>
            <w:tcW w:w="2335" w:type="dxa"/>
            <w:gridSpan w:val="2"/>
            <w:shd w:val="clear" w:color="auto" w:fill="DBE5F1"/>
          </w:tcPr>
          <w:p w:rsidR="00E2653F" w:rsidRDefault="00DE7305" w:rsidP="00FC6542">
            <w:pPr>
              <w:pStyle w:val="NoSpacing"/>
              <w:jc w:val="right"/>
            </w:pPr>
            <w:r>
              <w:t>(</w:t>
            </w:r>
            <w:r w:rsidR="00E2653F" w:rsidRPr="00F83CDF">
              <w:t>3.3%</w:t>
            </w:r>
            <w:r>
              <w:t>)</w:t>
            </w:r>
          </w:p>
          <w:p w:rsidR="00DE7305" w:rsidRPr="00F83CDF" w:rsidRDefault="00DE7305" w:rsidP="00FC6542">
            <w:pPr>
              <w:pStyle w:val="NoSpacing"/>
              <w:jc w:val="right"/>
            </w:pPr>
            <w:r>
              <w:t xml:space="preserve">  3.8%</w:t>
            </w:r>
          </w:p>
        </w:tc>
      </w:tr>
    </w:tbl>
    <w:p w:rsidR="00937590" w:rsidRDefault="00E2653F" w:rsidP="00937590">
      <w:pPr>
        <w:spacing w:after="0"/>
        <w:ind w:left="720" w:firstLine="11"/>
        <w:jc w:val="both"/>
        <w:rPr>
          <w:i/>
          <w:iCs/>
          <w:color w:val="808080"/>
        </w:rPr>
      </w:pPr>
      <w:r w:rsidRPr="00E5493B">
        <w:rPr>
          <w:i/>
          <w:iCs/>
          <w:color w:val="808080"/>
        </w:rPr>
        <w:t>Source: HSE Per</w:t>
      </w:r>
      <w:r w:rsidR="00FC6542">
        <w:rPr>
          <w:i/>
          <w:iCs/>
          <w:color w:val="808080"/>
        </w:rPr>
        <w:t xml:space="preserve">formance Report 8th October 2009: </w:t>
      </w:r>
      <w:r w:rsidR="00DE7305">
        <w:rPr>
          <w:i/>
          <w:iCs/>
          <w:color w:val="808080"/>
        </w:rPr>
        <w:t>August 2009 figures in brackets.</w:t>
      </w:r>
    </w:p>
    <w:p w:rsidR="00E2653F" w:rsidRDefault="00DE7305" w:rsidP="00937590">
      <w:pPr>
        <w:spacing w:after="0"/>
        <w:ind w:left="720" w:firstLine="11"/>
        <w:jc w:val="both"/>
        <w:rPr>
          <w:i/>
          <w:iCs/>
          <w:color w:val="808080"/>
        </w:rPr>
      </w:pPr>
      <w:r>
        <w:rPr>
          <w:i/>
          <w:iCs/>
          <w:color w:val="808080"/>
        </w:rPr>
        <w:t xml:space="preserve">  </w:t>
      </w:r>
      <w:r w:rsidR="00FC6542">
        <w:rPr>
          <w:i/>
          <w:iCs/>
          <w:color w:val="808080"/>
        </w:rPr>
        <w:t xml:space="preserve">HSE Performance Report </w:t>
      </w:r>
      <w:r>
        <w:rPr>
          <w:i/>
          <w:iCs/>
          <w:color w:val="808080"/>
        </w:rPr>
        <w:t>9</w:t>
      </w:r>
      <w:r w:rsidRPr="00DE7305">
        <w:rPr>
          <w:i/>
          <w:iCs/>
          <w:color w:val="808080"/>
          <w:vertAlign w:val="superscript"/>
        </w:rPr>
        <w:t>th</w:t>
      </w:r>
      <w:r w:rsidR="00FC6542">
        <w:rPr>
          <w:i/>
          <w:iCs/>
          <w:color w:val="808080"/>
        </w:rPr>
        <w:t xml:space="preserve"> September 20</w:t>
      </w:r>
      <w:r w:rsidR="006943BA">
        <w:rPr>
          <w:i/>
          <w:iCs/>
          <w:color w:val="808080"/>
        </w:rPr>
        <w:t>10</w:t>
      </w:r>
      <w:r w:rsidR="00FC6542">
        <w:rPr>
          <w:i/>
          <w:iCs/>
          <w:color w:val="808080"/>
        </w:rPr>
        <w:t>:  July 2010 figures not in brackets.</w:t>
      </w:r>
    </w:p>
    <w:p w:rsidR="0076351C" w:rsidRDefault="00971205" w:rsidP="00A212C6">
      <w:pPr>
        <w:numPr>
          <w:ilvl w:val="0"/>
          <w:numId w:val="4"/>
        </w:numPr>
        <w:spacing w:after="0" w:line="240" w:lineRule="auto"/>
        <w:rPr>
          <w:b/>
          <w:lang w:val="en-GB"/>
        </w:rPr>
      </w:pPr>
      <w:r>
        <w:rPr>
          <w:b/>
          <w:lang w:val="en-GB"/>
        </w:rPr>
        <w:t>Outpatient Waiting Lists</w:t>
      </w:r>
    </w:p>
    <w:p w:rsidR="00971205" w:rsidRPr="00036750" w:rsidRDefault="00971205" w:rsidP="00A212C6">
      <w:pPr>
        <w:spacing w:after="0" w:line="240" w:lineRule="auto"/>
        <w:ind w:left="709"/>
        <w:rPr>
          <w:lang w:val="en-GB"/>
        </w:rPr>
      </w:pPr>
      <w:r w:rsidRPr="00036750">
        <w:rPr>
          <w:lang w:val="en-GB"/>
        </w:rPr>
        <w:t xml:space="preserve">In addition to the increased demand for in-patient and day case care, </w:t>
      </w:r>
      <w:r w:rsidRPr="007043C4">
        <w:rPr>
          <w:b/>
          <w:lang w:val="en-GB"/>
        </w:rPr>
        <w:t>there is a strong increase in th</w:t>
      </w:r>
      <w:r w:rsidR="00036750" w:rsidRPr="007043C4">
        <w:rPr>
          <w:b/>
          <w:lang w:val="en-GB"/>
        </w:rPr>
        <w:t>e</w:t>
      </w:r>
      <w:r w:rsidRPr="007043C4">
        <w:rPr>
          <w:b/>
          <w:lang w:val="en-GB"/>
        </w:rPr>
        <w:t xml:space="preserve"> demand for out-patient consultations as illustrated in the ESRI published projection i</w:t>
      </w:r>
      <w:r w:rsidRPr="00036750">
        <w:rPr>
          <w:lang w:val="en-GB"/>
        </w:rPr>
        <w:t xml:space="preserve">n the graph below.  </w:t>
      </w:r>
      <w:r w:rsidR="00036750" w:rsidRPr="00036750">
        <w:rPr>
          <w:lang w:val="en-GB"/>
        </w:rPr>
        <w:t>Currently, t</w:t>
      </w:r>
      <w:r w:rsidRPr="00036750">
        <w:rPr>
          <w:lang w:val="en-GB"/>
        </w:rPr>
        <w:t xml:space="preserve">he HSE does not publish statistics on </w:t>
      </w:r>
      <w:r w:rsidR="00036750">
        <w:rPr>
          <w:lang w:val="en-GB"/>
        </w:rPr>
        <w:t>the number</w:t>
      </w:r>
      <w:r w:rsidR="00036750" w:rsidRPr="00036750">
        <w:rPr>
          <w:lang w:val="en-GB"/>
        </w:rPr>
        <w:t xml:space="preserve"> of patient</w:t>
      </w:r>
      <w:r w:rsidR="00036750">
        <w:rPr>
          <w:lang w:val="en-GB"/>
        </w:rPr>
        <w:t>s</w:t>
      </w:r>
      <w:r w:rsidR="00036750" w:rsidRPr="00036750">
        <w:rPr>
          <w:lang w:val="en-GB"/>
        </w:rPr>
        <w:t xml:space="preserve"> awaiting </w:t>
      </w:r>
      <w:r w:rsidRPr="00036750">
        <w:rPr>
          <w:lang w:val="en-GB"/>
        </w:rPr>
        <w:t xml:space="preserve">out-patient </w:t>
      </w:r>
      <w:r w:rsidR="00036750" w:rsidRPr="00036750">
        <w:rPr>
          <w:lang w:val="en-GB"/>
        </w:rPr>
        <w:t xml:space="preserve">consultations although it is clear there are lengthy and increasing </w:t>
      </w:r>
      <w:r w:rsidRPr="00036750">
        <w:rPr>
          <w:lang w:val="en-GB"/>
        </w:rPr>
        <w:t>waiting lists</w:t>
      </w:r>
      <w:r w:rsidR="00036750" w:rsidRPr="00036750">
        <w:rPr>
          <w:lang w:val="en-GB"/>
        </w:rPr>
        <w:t xml:space="preserve"> and times in many specialties.</w:t>
      </w:r>
      <w:r w:rsidRPr="00036750">
        <w:rPr>
          <w:lang w:val="en-GB"/>
        </w:rPr>
        <w:t xml:space="preserve"> </w:t>
      </w:r>
    </w:p>
    <w:p w:rsidR="0089152B" w:rsidRDefault="0089152B" w:rsidP="00971205">
      <w:pPr>
        <w:spacing w:after="0" w:line="240" w:lineRule="auto"/>
        <w:rPr>
          <w:b/>
        </w:rPr>
      </w:pPr>
    </w:p>
    <w:p w:rsidR="00971205" w:rsidRPr="00E12423" w:rsidRDefault="00971205" w:rsidP="00971205">
      <w:pPr>
        <w:spacing w:after="0" w:line="240" w:lineRule="auto"/>
        <w:rPr>
          <w:b/>
        </w:rPr>
      </w:pPr>
      <w:r>
        <w:rPr>
          <w:b/>
        </w:rPr>
        <w:t>Projected increase in Outpatient Consultations by Hospital Network 2006 - 2021</w:t>
      </w:r>
    </w:p>
    <w:p w:rsidR="00971205" w:rsidRDefault="006943BA" w:rsidP="00971205">
      <w:pPr>
        <w:spacing w:after="0" w:line="240" w:lineRule="auto"/>
      </w:pPr>
      <w:r w:rsidRPr="000B495A">
        <w:rPr>
          <w:rFonts w:ascii="Arial" w:hAnsi="Arial" w:cs="Arial"/>
          <w:sz w:val="20"/>
          <w:szCs w:val="20"/>
        </w:rPr>
        <w:pict>
          <v:shape id="_x0000_i1027" type="#_x0000_t75" style="width:346.5pt;height:177.75pt;mso-position-horizontal:absolute" o:bordertopcolor="this" o:borderleftcolor="this" o:borderbottomcolor="this" o:borderrightcolor="this">
            <v:imagedata r:id="rId15" o:title=""/>
            <w10:bordertop type="single" width="4"/>
            <w10:borderleft type="single" width="4"/>
            <w10:borderbottom type="single" width="4"/>
            <w10:borderright type="single" width="4"/>
          </v:shape>
        </w:pict>
      </w:r>
    </w:p>
    <w:p w:rsidR="00971205" w:rsidRDefault="00971205" w:rsidP="00971205">
      <w:pPr>
        <w:spacing w:after="0" w:line="240" w:lineRule="auto"/>
        <w:rPr>
          <w:b/>
          <w:lang w:val="en-GB"/>
        </w:rPr>
      </w:pPr>
      <w:r w:rsidRPr="00E12423">
        <w:rPr>
          <w:b/>
          <w:lang w:val="en-GB"/>
        </w:rPr>
        <w:t>Source:</w:t>
      </w:r>
      <w:r w:rsidR="00DD09AA">
        <w:rPr>
          <w:b/>
          <w:lang w:val="en-GB"/>
        </w:rPr>
        <w:t xml:space="preserve"> </w:t>
      </w:r>
      <w:r w:rsidRPr="00E12423">
        <w:rPr>
          <w:b/>
          <w:lang w:val="en-GB"/>
        </w:rPr>
        <w:t>ESRI Research Series 13, October 2009</w:t>
      </w:r>
    </w:p>
    <w:p w:rsidR="00971205" w:rsidRDefault="00971205" w:rsidP="00971205">
      <w:pPr>
        <w:spacing w:after="0" w:line="240" w:lineRule="auto"/>
        <w:rPr>
          <w:b/>
          <w:lang w:val="en-GB"/>
        </w:rPr>
      </w:pPr>
    </w:p>
    <w:p w:rsidR="00971205" w:rsidRDefault="00036750" w:rsidP="00A212C6">
      <w:pPr>
        <w:numPr>
          <w:ilvl w:val="0"/>
          <w:numId w:val="4"/>
        </w:numPr>
        <w:spacing w:after="0" w:line="240" w:lineRule="auto"/>
        <w:rPr>
          <w:b/>
          <w:lang w:val="en-GB"/>
        </w:rPr>
      </w:pPr>
      <w:r>
        <w:rPr>
          <w:b/>
          <w:lang w:val="en-GB"/>
        </w:rPr>
        <w:t xml:space="preserve">Unacceptable Trolley Use in Emergency </w:t>
      </w:r>
      <w:r w:rsidR="00043ACD">
        <w:rPr>
          <w:b/>
          <w:lang w:val="en-GB"/>
        </w:rPr>
        <w:t>D</w:t>
      </w:r>
      <w:r>
        <w:rPr>
          <w:b/>
          <w:lang w:val="en-GB"/>
        </w:rPr>
        <w:t>epartments</w:t>
      </w:r>
    </w:p>
    <w:p w:rsidR="007043C4" w:rsidRDefault="00036750" w:rsidP="00A212C6">
      <w:pPr>
        <w:spacing w:after="0" w:line="240" w:lineRule="auto"/>
        <w:ind w:left="709"/>
        <w:rPr>
          <w:lang w:val="en-GB"/>
        </w:rPr>
      </w:pPr>
      <w:r w:rsidRPr="00036750">
        <w:rPr>
          <w:lang w:val="en-GB"/>
        </w:rPr>
        <w:t xml:space="preserve">Due to the shortage of inpatient and other beds, a large and unacceptable </w:t>
      </w:r>
      <w:r>
        <w:rPr>
          <w:lang w:val="en-GB"/>
        </w:rPr>
        <w:t xml:space="preserve">number of </w:t>
      </w:r>
      <w:r w:rsidRPr="00036750">
        <w:rPr>
          <w:lang w:val="en-GB"/>
        </w:rPr>
        <w:t xml:space="preserve">patients who </w:t>
      </w:r>
      <w:r w:rsidR="00DD09AA">
        <w:rPr>
          <w:lang w:val="en-GB"/>
        </w:rPr>
        <w:t xml:space="preserve">are deemed </w:t>
      </w:r>
      <w:r w:rsidRPr="00036750">
        <w:rPr>
          <w:lang w:val="en-GB"/>
        </w:rPr>
        <w:t xml:space="preserve">admitted to hospital are required to be treated on trolleys and chairs in emergency departments as boarders, despite the negative effects this has on patient care and the fire and other safety breaches it creates.  </w:t>
      </w:r>
      <w:r w:rsidR="00B35C3E">
        <w:rPr>
          <w:lang w:val="en-GB"/>
        </w:rPr>
        <w:t>The effects of the cramp</w:t>
      </w:r>
      <w:r w:rsidR="007043C4">
        <w:rPr>
          <w:lang w:val="en-GB"/>
        </w:rPr>
        <w:t>ed conditions include poorer patient outcome</w:t>
      </w:r>
      <w:r w:rsidR="00D567EC">
        <w:rPr>
          <w:lang w:val="en-GB"/>
        </w:rPr>
        <w:t>s</w:t>
      </w:r>
      <w:r w:rsidR="007043C4">
        <w:rPr>
          <w:lang w:val="en-GB"/>
        </w:rPr>
        <w:t xml:space="preserve">, increased levels of hospital acquired infections and compromised patient dignity as they have to be treated often in public corridors. </w:t>
      </w:r>
    </w:p>
    <w:p w:rsidR="007043C4" w:rsidRDefault="007043C4" w:rsidP="00036750">
      <w:pPr>
        <w:spacing w:after="0" w:line="240" w:lineRule="auto"/>
        <w:rPr>
          <w:lang w:val="en-GB"/>
        </w:rPr>
      </w:pPr>
    </w:p>
    <w:p w:rsidR="00036750" w:rsidRPr="00036750" w:rsidRDefault="007043C4" w:rsidP="00A212C6">
      <w:pPr>
        <w:spacing w:after="0" w:line="240" w:lineRule="auto"/>
        <w:ind w:left="567"/>
        <w:rPr>
          <w:lang w:val="en-GB"/>
        </w:rPr>
      </w:pPr>
      <w:r>
        <w:rPr>
          <w:lang w:val="en-GB"/>
        </w:rPr>
        <w:t>The INMO Trolley</w:t>
      </w:r>
      <w:r w:rsidR="00036750">
        <w:rPr>
          <w:lang w:val="en-GB"/>
        </w:rPr>
        <w:t xml:space="preserve"> </w:t>
      </w:r>
      <w:r w:rsidR="00DD09AA">
        <w:rPr>
          <w:lang w:val="en-GB"/>
        </w:rPr>
        <w:t>count</w:t>
      </w:r>
      <w:r w:rsidR="00036750">
        <w:rPr>
          <w:lang w:val="en-GB"/>
        </w:rPr>
        <w:t xml:space="preserve"> totalled 70,116 in acute hospital emergency departments over the 12</w:t>
      </w:r>
      <w:r w:rsidR="00043ACD">
        <w:rPr>
          <w:lang w:val="en-GB"/>
        </w:rPr>
        <w:t xml:space="preserve"> </w:t>
      </w:r>
      <w:r w:rsidR="00036750">
        <w:rPr>
          <w:lang w:val="en-GB"/>
        </w:rPr>
        <w:t>month period up to August 31</w:t>
      </w:r>
      <w:r w:rsidR="00036750" w:rsidRPr="00036750">
        <w:rPr>
          <w:vertAlign w:val="superscript"/>
          <w:lang w:val="en-GB"/>
        </w:rPr>
        <w:t>st</w:t>
      </w:r>
      <w:r w:rsidR="00036750">
        <w:rPr>
          <w:lang w:val="en-GB"/>
        </w:rPr>
        <w:t xml:space="preserve">, 2010. </w:t>
      </w:r>
      <w:r>
        <w:rPr>
          <w:lang w:val="en-GB"/>
        </w:rPr>
        <w:t xml:space="preserve">This represents an 11% increase on the previous year’s </w:t>
      </w:r>
      <w:r w:rsidR="003213BE">
        <w:rPr>
          <w:lang w:val="en-GB"/>
        </w:rPr>
        <w:t>t</w:t>
      </w:r>
      <w:r>
        <w:rPr>
          <w:lang w:val="en-GB"/>
        </w:rPr>
        <w:t xml:space="preserve">rolley count, </w:t>
      </w:r>
      <w:r w:rsidR="00D567EC">
        <w:rPr>
          <w:lang w:val="en-GB"/>
        </w:rPr>
        <w:t xml:space="preserve">reflection the deterioration acute hospital resources and increasing demand. </w:t>
      </w:r>
      <w:r w:rsidR="00036750">
        <w:rPr>
          <w:lang w:val="en-GB"/>
        </w:rPr>
        <w:t xml:space="preserve">It is estimated that </w:t>
      </w:r>
      <w:r w:rsidR="00DD09AA">
        <w:rPr>
          <w:lang w:val="en-GB"/>
        </w:rPr>
        <w:t xml:space="preserve">the </w:t>
      </w:r>
      <w:r w:rsidR="002231C9">
        <w:rPr>
          <w:lang w:val="en-GB"/>
        </w:rPr>
        <w:t xml:space="preserve">commissioning </w:t>
      </w:r>
      <w:r w:rsidR="00DD09AA">
        <w:rPr>
          <w:lang w:val="en-GB"/>
        </w:rPr>
        <w:t xml:space="preserve">of several hundred acute hospital beds </w:t>
      </w:r>
      <w:r w:rsidR="00043ACD">
        <w:rPr>
          <w:lang w:val="en-GB"/>
        </w:rPr>
        <w:t>are</w:t>
      </w:r>
      <w:r w:rsidR="00DD09AA">
        <w:rPr>
          <w:lang w:val="en-GB"/>
        </w:rPr>
        <w:t xml:space="preserve"> required </w:t>
      </w:r>
      <w:r w:rsidR="002231C9">
        <w:rPr>
          <w:lang w:val="en-GB"/>
        </w:rPr>
        <w:t xml:space="preserve">just </w:t>
      </w:r>
      <w:r w:rsidR="00DD09AA">
        <w:rPr>
          <w:lang w:val="en-GB"/>
        </w:rPr>
        <w:t>to remove the need for admitted patients to be treated on trolleys.</w:t>
      </w:r>
    </w:p>
    <w:p w:rsidR="00971205" w:rsidRDefault="00971205" w:rsidP="00046F6A">
      <w:pPr>
        <w:spacing w:after="0" w:line="240" w:lineRule="auto"/>
        <w:rPr>
          <w:b/>
          <w:lang w:val="en-GB"/>
        </w:rPr>
      </w:pPr>
    </w:p>
    <w:p w:rsidR="00971205" w:rsidRDefault="00971205" w:rsidP="00046F6A">
      <w:pPr>
        <w:spacing w:after="0" w:line="240" w:lineRule="auto"/>
        <w:rPr>
          <w:b/>
          <w:lang w:val="en-GB"/>
        </w:rPr>
      </w:pPr>
    </w:p>
    <w:p w:rsidR="0076351C" w:rsidRPr="0089152B" w:rsidRDefault="00937590" w:rsidP="00B967E9">
      <w:pPr>
        <w:pStyle w:val="Heading1"/>
        <w:spacing w:before="0" w:after="0"/>
        <w:rPr>
          <w:sz w:val="28"/>
          <w:szCs w:val="28"/>
        </w:rPr>
      </w:pPr>
      <w:bookmarkStart w:id="0" w:name="_Toc239570061"/>
      <w:r>
        <w:rPr>
          <w:sz w:val="28"/>
          <w:szCs w:val="28"/>
        </w:rPr>
        <w:t>I</w:t>
      </w:r>
      <w:r w:rsidR="0076351C" w:rsidRPr="0089152B">
        <w:rPr>
          <w:sz w:val="28"/>
          <w:szCs w:val="28"/>
        </w:rPr>
        <w:t>HCA Budget Recommendations</w:t>
      </w:r>
      <w:bookmarkEnd w:id="0"/>
    </w:p>
    <w:p w:rsidR="00B967E9" w:rsidRPr="00B967E9" w:rsidRDefault="00B967E9" w:rsidP="00B967E9">
      <w:pPr>
        <w:rPr>
          <w:lang w:val="en-IE"/>
        </w:rPr>
      </w:pPr>
    </w:p>
    <w:p w:rsidR="00BA085E" w:rsidRPr="00BA085E" w:rsidRDefault="00DD09AA" w:rsidP="00A212C6">
      <w:pPr>
        <w:numPr>
          <w:ilvl w:val="0"/>
          <w:numId w:val="4"/>
        </w:numPr>
        <w:spacing w:after="0" w:line="240" w:lineRule="auto"/>
      </w:pPr>
      <w:r>
        <w:rPr>
          <w:b/>
        </w:rPr>
        <w:t>T</w:t>
      </w:r>
      <w:r w:rsidR="005C676E">
        <w:rPr>
          <w:b/>
        </w:rPr>
        <w:t>h</w:t>
      </w:r>
      <w:r w:rsidR="0076351C" w:rsidRPr="00BD1D78">
        <w:rPr>
          <w:b/>
        </w:rPr>
        <w:t>e IHCA strongly recommends that the 201</w:t>
      </w:r>
      <w:r w:rsidR="005C676E">
        <w:rPr>
          <w:b/>
        </w:rPr>
        <w:t>1</w:t>
      </w:r>
      <w:r w:rsidR="0076351C" w:rsidRPr="00BD1D78">
        <w:rPr>
          <w:b/>
        </w:rPr>
        <w:t xml:space="preserve"> HSE Budget needs to be fully resourced to meet </w:t>
      </w:r>
      <w:r w:rsidR="00C10B5F">
        <w:rPr>
          <w:b/>
        </w:rPr>
        <w:t>the</w:t>
      </w:r>
      <w:r w:rsidR="0076351C" w:rsidRPr="00BD1D78">
        <w:rPr>
          <w:b/>
        </w:rPr>
        <w:t xml:space="preserve"> patient demand for healthcare services</w:t>
      </w:r>
      <w:r w:rsidR="002231C9">
        <w:rPr>
          <w:b/>
        </w:rPr>
        <w:t xml:space="preserve">, especially in the underfunded acute hospital and mental health </w:t>
      </w:r>
      <w:r w:rsidR="00C96B0F">
        <w:rPr>
          <w:b/>
        </w:rPr>
        <w:t>budget</w:t>
      </w:r>
      <w:r w:rsidR="002231C9">
        <w:rPr>
          <w:b/>
        </w:rPr>
        <w:t>s</w:t>
      </w:r>
      <w:r w:rsidR="0076351C" w:rsidRPr="00BD1D78">
        <w:rPr>
          <w:b/>
        </w:rPr>
        <w:t xml:space="preserve">. </w:t>
      </w:r>
      <w:r w:rsidR="00A01C8D">
        <w:rPr>
          <w:b/>
        </w:rPr>
        <w:t xml:space="preserve">  I</w:t>
      </w:r>
      <w:r w:rsidR="0076351C" w:rsidRPr="00BD1D78">
        <w:rPr>
          <w:b/>
        </w:rPr>
        <w:t xml:space="preserve">t is vitally important that the Health Budget is </w:t>
      </w:r>
      <w:r w:rsidR="0076351C" w:rsidRPr="00EA0236">
        <w:rPr>
          <w:b/>
        </w:rPr>
        <w:t>funded</w:t>
      </w:r>
      <w:r w:rsidR="0076351C" w:rsidRPr="00BD1D78">
        <w:rPr>
          <w:b/>
        </w:rPr>
        <w:t xml:space="preserve"> properly because access to healthcare is a basic human right </w:t>
      </w:r>
      <w:r w:rsidR="00F64BCD">
        <w:rPr>
          <w:b/>
        </w:rPr>
        <w:t>that</w:t>
      </w:r>
      <w:r w:rsidR="0076351C" w:rsidRPr="00BD1D78">
        <w:rPr>
          <w:b/>
        </w:rPr>
        <w:t xml:space="preserve"> should be prioritised over the need to achieve reductions in public expenditure</w:t>
      </w:r>
      <w:r w:rsidR="0076351C" w:rsidRPr="00EA0236">
        <w:rPr>
          <w:b/>
        </w:rPr>
        <w:t>, even in a recession</w:t>
      </w:r>
      <w:r w:rsidR="0076351C" w:rsidRPr="00BD1D78">
        <w:rPr>
          <w:b/>
        </w:rPr>
        <w:t xml:space="preserve">. </w:t>
      </w:r>
    </w:p>
    <w:p w:rsidR="00BA085E" w:rsidRPr="00BA085E" w:rsidRDefault="00BA085E" w:rsidP="00BA085E">
      <w:pPr>
        <w:spacing w:after="0" w:line="240" w:lineRule="auto"/>
        <w:ind w:left="360"/>
      </w:pPr>
    </w:p>
    <w:p w:rsidR="00BA085E" w:rsidRDefault="00BA085E" w:rsidP="00A212C6">
      <w:pPr>
        <w:numPr>
          <w:ilvl w:val="0"/>
          <w:numId w:val="4"/>
        </w:numPr>
        <w:spacing w:after="0" w:line="240" w:lineRule="auto"/>
      </w:pPr>
      <w:r>
        <w:t>There is a serious concern that reduced funding and resources, which are based on underestimates of demand, will give rise to even greater service restrictions in 2011 if the HSE Budget is not funded properly to reflect the increasing demand for publicly funded health services arising from demographic and health insurance changes.</w:t>
      </w:r>
    </w:p>
    <w:p w:rsidR="00971205" w:rsidRDefault="00971205" w:rsidP="00971205">
      <w:pPr>
        <w:pStyle w:val="ListParagraph"/>
      </w:pPr>
    </w:p>
    <w:p w:rsidR="00971205" w:rsidRDefault="00971205" w:rsidP="00A212C6">
      <w:pPr>
        <w:numPr>
          <w:ilvl w:val="0"/>
          <w:numId w:val="4"/>
        </w:numPr>
        <w:spacing w:after="0" w:line="240" w:lineRule="auto"/>
      </w:pPr>
      <w:r>
        <w:t xml:space="preserve">The Government suggestion </w:t>
      </w:r>
      <w:r w:rsidR="00043ACD">
        <w:t xml:space="preserve">that it is planning </w:t>
      </w:r>
      <w:r>
        <w:t xml:space="preserve">to reduce the 2011 Health Budget would be extremely damaging if implemented </w:t>
      </w:r>
      <w:r w:rsidR="00581349">
        <w:t xml:space="preserve">in </w:t>
      </w:r>
      <w:r w:rsidR="00C10B5F">
        <w:t xml:space="preserve">frontline </w:t>
      </w:r>
      <w:r w:rsidR="00581349">
        <w:t xml:space="preserve">acute hospitals and mental health services </w:t>
      </w:r>
      <w:r>
        <w:t>given the combined effects of recent cuts.</w:t>
      </w:r>
    </w:p>
    <w:p w:rsidR="0076351C" w:rsidRDefault="0076351C" w:rsidP="00B967E9">
      <w:pPr>
        <w:spacing w:after="0" w:line="240" w:lineRule="auto"/>
        <w:rPr>
          <w:b/>
        </w:rPr>
      </w:pPr>
    </w:p>
    <w:p w:rsidR="00DB43AA" w:rsidRPr="00BD1D78" w:rsidRDefault="00DB43AA" w:rsidP="00B967E9">
      <w:pPr>
        <w:spacing w:after="0" w:line="240" w:lineRule="auto"/>
        <w:rPr>
          <w:b/>
        </w:rPr>
      </w:pPr>
    </w:p>
    <w:p w:rsidR="005C676E" w:rsidRDefault="0076351C" w:rsidP="00B967E9">
      <w:pPr>
        <w:spacing w:after="0" w:line="240" w:lineRule="auto"/>
        <w:rPr>
          <w:b/>
        </w:rPr>
      </w:pPr>
      <w:r w:rsidRPr="00BD1D78">
        <w:rPr>
          <w:b/>
        </w:rPr>
        <w:t>The IHCA recommends that the 201</w:t>
      </w:r>
      <w:r w:rsidR="005C676E">
        <w:rPr>
          <w:b/>
        </w:rPr>
        <w:t>1</w:t>
      </w:r>
      <w:r w:rsidRPr="00BD1D78">
        <w:rPr>
          <w:b/>
        </w:rPr>
        <w:t xml:space="preserve"> Budget should increase</w:t>
      </w:r>
      <w:r w:rsidR="00043ACD">
        <w:rPr>
          <w:b/>
        </w:rPr>
        <w:t xml:space="preserve"> the</w:t>
      </w:r>
      <w:r w:rsidRPr="00BD1D78">
        <w:rPr>
          <w:b/>
        </w:rPr>
        <w:t xml:space="preserve"> </w:t>
      </w:r>
      <w:r w:rsidR="005C676E">
        <w:rPr>
          <w:b/>
        </w:rPr>
        <w:t xml:space="preserve">funding for </w:t>
      </w:r>
      <w:r w:rsidR="00C10B5F">
        <w:rPr>
          <w:b/>
        </w:rPr>
        <w:t>frontline</w:t>
      </w:r>
      <w:r w:rsidR="005C676E">
        <w:rPr>
          <w:b/>
        </w:rPr>
        <w:t xml:space="preserve"> acute hospital and mental health </w:t>
      </w:r>
      <w:r w:rsidR="009167B0">
        <w:rPr>
          <w:b/>
        </w:rPr>
        <w:t>service</w:t>
      </w:r>
      <w:r w:rsidR="005C676E">
        <w:rPr>
          <w:b/>
        </w:rPr>
        <w:t>s compared</w:t>
      </w:r>
      <w:r w:rsidR="0089152B">
        <w:rPr>
          <w:b/>
        </w:rPr>
        <w:t xml:space="preserve"> with</w:t>
      </w:r>
      <w:r w:rsidR="005C676E">
        <w:rPr>
          <w:b/>
        </w:rPr>
        <w:t xml:space="preserve"> the 2010</w:t>
      </w:r>
      <w:r w:rsidR="00D567EC">
        <w:rPr>
          <w:b/>
        </w:rPr>
        <w:t xml:space="preserve"> b</w:t>
      </w:r>
      <w:r w:rsidRPr="00BD1D78">
        <w:rPr>
          <w:b/>
        </w:rPr>
        <w:t xml:space="preserve">udget </w:t>
      </w:r>
      <w:r w:rsidR="00D567EC">
        <w:rPr>
          <w:b/>
        </w:rPr>
        <w:t>provisions</w:t>
      </w:r>
      <w:r w:rsidR="00A01C8D">
        <w:rPr>
          <w:b/>
        </w:rPr>
        <w:t>.</w:t>
      </w:r>
    </w:p>
    <w:p w:rsidR="00BA085E" w:rsidRDefault="00BA085E" w:rsidP="00B967E9">
      <w:pPr>
        <w:spacing w:after="0" w:line="240" w:lineRule="auto"/>
      </w:pPr>
    </w:p>
    <w:p w:rsidR="00937590" w:rsidRDefault="00937590" w:rsidP="00B967E9">
      <w:pPr>
        <w:spacing w:after="0" w:line="240" w:lineRule="auto"/>
        <w:rPr>
          <w:b/>
        </w:rPr>
      </w:pPr>
    </w:p>
    <w:p w:rsidR="00937590" w:rsidRDefault="00937590" w:rsidP="00B967E9">
      <w:pPr>
        <w:spacing w:after="0" w:line="240" w:lineRule="auto"/>
        <w:rPr>
          <w:b/>
        </w:rPr>
      </w:pPr>
    </w:p>
    <w:p w:rsidR="00937590" w:rsidRDefault="00937590" w:rsidP="00B967E9">
      <w:pPr>
        <w:spacing w:after="0" w:line="240" w:lineRule="auto"/>
        <w:rPr>
          <w:b/>
        </w:rPr>
      </w:pPr>
    </w:p>
    <w:p w:rsidR="0076351C" w:rsidRDefault="0076351C" w:rsidP="00B967E9">
      <w:pPr>
        <w:spacing w:after="0" w:line="240" w:lineRule="auto"/>
        <w:rPr>
          <w:b/>
        </w:rPr>
      </w:pPr>
      <w:r w:rsidRPr="00BD1D78">
        <w:rPr>
          <w:b/>
        </w:rPr>
        <w:t xml:space="preserve">The </w:t>
      </w:r>
      <w:r w:rsidR="00BA085E">
        <w:rPr>
          <w:b/>
        </w:rPr>
        <w:t xml:space="preserve">detailed IHCA recommendations are </w:t>
      </w:r>
      <w:r w:rsidRPr="00BD1D78">
        <w:rPr>
          <w:b/>
        </w:rPr>
        <w:t xml:space="preserve">that the </w:t>
      </w:r>
      <w:r w:rsidR="00D567EC">
        <w:rPr>
          <w:b/>
        </w:rPr>
        <w:t xml:space="preserve">acute hospital and mental health budgets </w:t>
      </w:r>
      <w:r w:rsidRPr="00BD1D78">
        <w:rPr>
          <w:b/>
        </w:rPr>
        <w:t>should be based on the following considerations:</w:t>
      </w:r>
    </w:p>
    <w:p w:rsidR="00B967E9" w:rsidRPr="00BD1D78" w:rsidRDefault="00B967E9" w:rsidP="00B967E9">
      <w:pPr>
        <w:spacing w:after="0" w:line="240" w:lineRule="auto"/>
        <w:rPr>
          <w:b/>
        </w:rPr>
      </w:pPr>
    </w:p>
    <w:p w:rsidR="00D567EC" w:rsidRDefault="00D567EC" w:rsidP="00D567EC">
      <w:pPr>
        <w:numPr>
          <w:ilvl w:val="0"/>
          <w:numId w:val="14"/>
        </w:numPr>
        <w:tabs>
          <w:tab w:val="clear" w:pos="1800"/>
          <w:tab w:val="num" w:pos="720"/>
        </w:tabs>
        <w:spacing w:after="0" w:line="240" w:lineRule="auto"/>
        <w:ind w:left="720"/>
        <w:rPr>
          <w:b/>
        </w:rPr>
      </w:pPr>
      <w:r w:rsidRPr="00B7453A">
        <w:rPr>
          <w:b/>
        </w:rPr>
        <w:t>Shortfalls</w:t>
      </w:r>
    </w:p>
    <w:p w:rsidR="00D567EC" w:rsidRPr="00B7453A" w:rsidRDefault="00D567EC" w:rsidP="00D567EC">
      <w:pPr>
        <w:spacing w:after="0" w:line="240" w:lineRule="auto"/>
        <w:ind w:left="720"/>
        <w:rPr>
          <w:b/>
        </w:rPr>
      </w:pPr>
    </w:p>
    <w:p w:rsidR="00D567EC" w:rsidRDefault="00D567EC" w:rsidP="00D567EC">
      <w:pPr>
        <w:spacing w:after="0" w:line="240" w:lineRule="auto"/>
        <w:ind w:left="720"/>
      </w:pPr>
      <w:r>
        <w:t>Shortfalls in the 2010 Budget need</w:t>
      </w:r>
      <w:r w:rsidRPr="00B7453A">
        <w:t xml:space="preserve"> to be </w:t>
      </w:r>
      <w:r>
        <w:t>provided for in the 2011 Budget. In particular, the July 31</w:t>
      </w:r>
      <w:r w:rsidRPr="00D567EC">
        <w:rPr>
          <w:vertAlign w:val="superscript"/>
        </w:rPr>
        <w:t>st</w:t>
      </w:r>
      <w:r>
        <w:t xml:space="preserve">, 2010 deficits in the acute hospital and </w:t>
      </w:r>
      <w:r w:rsidR="0089152B">
        <w:t>mental health</w:t>
      </w:r>
      <w:r>
        <w:t xml:space="preserve"> budgets must be funded in the 2011 Budget</w:t>
      </w:r>
      <w:r w:rsidR="00A52DB7">
        <w:t>,</w:t>
      </w:r>
      <w:r>
        <w:t xml:space="preserve"> so that services </w:t>
      </w:r>
      <w:r w:rsidR="00A52DB7">
        <w:t>are</w:t>
      </w:r>
      <w:r>
        <w:t xml:space="preserve"> maintained at </w:t>
      </w:r>
      <w:r w:rsidR="00581349">
        <w:t xml:space="preserve">the </w:t>
      </w:r>
      <w:r>
        <w:t>level required to meet patient demand, without the imposit</w:t>
      </w:r>
      <w:r w:rsidR="00A52DB7">
        <w:t>ion of augmented breakeven plans</w:t>
      </w:r>
      <w:r w:rsidR="00581349">
        <w:t xml:space="preserve"> which reduce services </w:t>
      </w:r>
      <w:r w:rsidR="00A52DB7">
        <w:t xml:space="preserve">in the last few months of the year </w:t>
      </w:r>
      <w:r w:rsidR="00581349">
        <w:t xml:space="preserve">such as </w:t>
      </w:r>
      <w:r w:rsidR="002231C9">
        <w:t>are</w:t>
      </w:r>
      <w:r w:rsidR="00A52DB7">
        <w:t xml:space="preserve"> being implemented in 2010.</w:t>
      </w:r>
    </w:p>
    <w:p w:rsidR="00D567EC" w:rsidRDefault="00D567EC" w:rsidP="00D567EC">
      <w:pPr>
        <w:spacing w:after="0" w:line="240" w:lineRule="auto"/>
        <w:ind w:left="720"/>
      </w:pPr>
    </w:p>
    <w:p w:rsidR="00A52DB7" w:rsidRDefault="00A52DB7" w:rsidP="00A52DB7">
      <w:pPr>
        <w:numPr>
          <w:ilvl w:val="0"/>
          <w:numId w:val="14"/>
        </w:numPr>
        <w:tabs>
          <w:tab w:val="clear" w:pos="1800"/>
          <w:tab w:val="num" w:pos="720"/>
        </w:tabs>
        <w:spacing w:after="0" w:line="240" w:lineRule="auto"/>
        <w:ind w:left="720"/>
        <w:rPr>
          <w:b/>
        </w:rPr>
      </w:pPr>
      <w:r w:rsidRPr="00B7453A">
        <w:rPr>
          <w:b/>
        </w:rPr>
        <w:t>Provision</w:t>
      </w:r>
      <w:r>
        <w:rPr>
          <w:b/>
        </w:rPr>
        <w:t>s</w:t>
      </w:r>
      <w:r w:rsidRPr="00B7453A">
        <w:rPr>
          <w:b/>
        </w:rPr>
        <w:t xml:space="preserve"> for increased service demand and delivery.  </w:t>
      </w:r>
    </w:p>
    <w:p w:rsidR="00A52DB7" w:rsidRDefault="00A52DB7" w:rsidP="00A52DB7">
      <w:pPr>
        <w:spacing w:after="0" w:line="240" w:lineRule="auto"/>
        <w:ind w:left="720"/>
        <w:rPr>
          <w:b/>
        </w:rPr>
      </w:pPr>
    </w:p>
    <w:p w:rsidR="00A52DB7" w:rsidRDefault="00A52DB7" w:rsidP="00A52DB7">
      <w:pPr>
        <w:spacing w:after="0" w:line="240" w:lineRule="auto"/>
        <w:ind w:left="720"/>
      </w:pPr>
      <w:r>
        <w:t>It is expected that</w:t>
      </w:r>
      <w:r w:rsidRPr="00B7453A">
        <w:t xml:space="preserve"> increased </w:t>
      </w:r>
      <w:r>
        <w:t xml:space="preserve">service </w:t>
      </w:r>
      <w:r w:rsidRPr="00B7453A">
        <w:t>demand and delivery will arise in 201</w:t>
      </w:r>
      <w:r>
        <w:t>1</w:t>
      </w:r>
      <w:r w:rsidRPr="00B7453A">
        <w:t xml:space="preserve"> as </w:t>
      </w:r>
      <w:r>
        <w:t>has occurred in recent years</w:t>
      </w:r>
      <w:r w:rsidR="002231C9">
        <w:t>,</w:t>
      </w:r>
      <w:r>
        <w:t xml:space="preserve"> including 2010.</w:t>
      </w:r>
    </w:p>
    <w:p w:rsidR="00A52DB7" w:rsidRPr="00DB43AA" w:rsidRDefault="00A52DB7" w:rsidP="00A52DB7">
      <w:pPr>
        <w:spacing w:after="0" w:line="240" w:lineRule="auto"/>
        <w:ind w:left="720"/>
        <w:rPr>
          <w:b/>
        </w:rPr>
      </w:pPr>
    </w:p>
    <w:p w:rsidR="00A52DB7" w:rsidRPr="00DB43AA" w:rsidRDefault="00A52DB7" w:rsidP="00A52DB7">
      <w:pPr>
        <w:numPr>
          <w:ilvl w:val="3"/>
          <w:numId w:val="12"/>
        </w:numPr>
        <w:tabs>
          <w:tab w:val="num" w:pos="1080"/>
        </w:tabs>
        <w:spacing w:after="0" w:line="240" w:lineRule="auto"/>
        <w:ind w:left="1077" w:hanging="357"/>
        <w:rPr>
          <w:b/>
        </w:rPr>
      </w:pPr>
      <w:r w:rsidRPr="00DB43AA">
        <w:rPr>
          <w:b/>
        </w:rPr>
        <w:t>Increased Demand.</w:t>
      </w:r>
    </w:p>
    <w:p w:rsidR="00A52DB7" w:rsidRDefault="00A52DB7" w:rsidP="00A52DB7">
      <w:pPr>
        <w:tabs>
          <w:tab w:val="num" w:pos="1920"/>
        </w:tabs>
        <w:spacing w:after="0" w:line="240" w:lineRule="auto"/>
        <w:ind w:left="720"/>
      </w:pPr>
    </w:p>
    <w:p w:rsidR="00A52DB7" w:rsidRDefault="00A52DB7" w:rsidP="00A52DB7">
      <w:pPr>
        <w:spacing w:after="0" w:line="240" w:lineRule="auto"/>
        <w:ind w:left="1077"/>
      </w:pPr>
      <w:r w:rsidRPr="00B7453A">
        <w:t xml:space="preserve">Reflecting the impact </w:t>
      </w:r>
      <w:r>
        <w:t xml:space="preserve">of an ageing population, it is probable that service demand </w:t>
      </w:r>
      <w:r w:rsidR="00581349">
        <w:t>will</w:t>
      </w:r>
      <w:r>
        <w:t xml:space="preserve"> increase by around 2% in acute hospitals because of these demographic factors.  </w:t>
      </w:r>
    </w:p>
    <w:p w:rsidR="00A52DB7" w:rsidRDefault="00A52DB7" w:rsidP="00A52DB7">
      <w:pPr>
        <w:tabs>
          <w:tab w:val="left" w:pos="709"/>
          <w:tab w:val="left" w:pos="1134"/>
        </w:tabs>
        <w:spacing w:after="0" w:line="240" w:lineRule="auto"/>
      </w:pPr>
      <w:r>
        <w:rPr>
          <w:b/>
        </w:rPr>
        <w:tab/>
      </w:r>
    </w:p>
    <w:p w:rsidR="00A52DB7" w:rsidRDefault="002D5459" w:rsidP="002D5459">
      <w:pPr>
        <w:tabs>
          <w:tab w:val="left" w:pos="709"/>
          <w:tab w:val="left" w:pos="1134"/>
        </w:tabs>
        <w:spacing w:after="0" w:line="240" w:lineRule="auto"/>
        <w:rPr>
          <w:b/>
        </w:rPr>
      </w:pPr>
      <w:r>
        <w:rPr>
          <w:b/>
        </w:rPr>
        <w:tab/>
        <w:t>(b)</w:t>
      </w:r>
      <w:r>
        <w:rPr>
          <w:b/>
        </w:rPr>
        <w:tab/>
      </w:r>
      <w:r w:rsidR="00A52DB7" w:rsidRPr="00B7453A">
        <w:rPr>
          <w:b/>
        </w:rPr>
        <w:t>Reducing Waiting Lists</w:t>
      </w:r>
      <w:r w:rsidR="00A52DB7">
        <w:rPr>
          <w:b/>
        </w:rPr>
        <w:t xml:space="preserve"> </w:t>
      </w:r>
    </w:p>
    <w:p w:rsidR="00A52DB7" w:rsidRPr="00B967E9" w:rsidRDefault="00A52DB7" w:rsidP="00A52DB7">
      <w:pPr>
        <w:tabs>
          <w:tab w:val="left" w:pos="709"/>
        </w:tabs>
        <w:spacing w:after="0" w:line="240" w:lineRule="auto"/>
        <w:ind w:left="2340"/>
        <w:rPr>
          <w:b/>
        </w:rPr>
      </w:pPr>
    </w:p>
    <w:p w:rsidR="00A52DB7" w:rsidRDefault="00A52DB7" w:rsidP="00A52DB7">
      <w:pPr>
        <w:spacing w:after="0" w:line="240" w:lineRule="auto"/>
        <w:ind w:left="1134"/>
      </w:pPr>
      <w:r>
        <w:t>Provision needs to be made in the Budget for t</w:t>
      </w:r>
      <w:r w:rsidRPr="00B7453A">
        <w:t>he cost of at least halving the waitin</w:t>
      </w:r>
      <w:r>
        <w:t>g list for inpatient and day cas</w:t>
      </w:r>
      <w:r w:rsidRPr="00B7453A">
        <w:t>e services</w:t>
      </w:r>
      <w:r>
        <w:t>,</w:t>
      </w:r>
      <w:r w:rsidRPr="00B7453A">
        <w:t xml:space="preserve"> which are equivalent to </w:t>
      </w:r>
      <w:r>
        <w:t xml:space="preserve">3.8% of the 2010 </w:t>
      </w:r>
      <w:r w:rsidR="00581349">
        <w:t xml:space="preserve">HSE NSP </w:t>
      </w:r>
      <w:r>
        <w:t xml:space="preserve">targets.  </w:t>
      </w:r>
    </w:p>
    <w:p w:rsidR="00A52DB7" w:rsidRDefault="00A52DB7" w:rsidP="00A52DB7">
      <w:pPr>
        <w:spacing w:after="0" w:line="240" w:lineRule="auto"/>
      </w:pPr>
    </w:p>
    <w:p w:rsidR="00A52DB7" w:rsidRPr="002D5459" w:rsidRDefault="002D5459" w:rsidP="002D5459">
      <w:pPr>
        <w:pStyle w:val="NoSpacing"/>
        <w:ind w:left="1134" w:hanging="425"/>
        <w:rPr>
          <w:b/>
        </w:rPr>
      </w:pPr>
      <w:r w:rsidRPr="002D5459">
        <w:rPr>
          <w:b/>
        </w:rPr>
        <w:t>(c)</w:t>
      </w:r>
      <w:r w:rsidRPr="002D5459">
        <w:rPr>
          <w:b/>
        </w:rPr>
        <w:tab/>
      </w:r>
      <w:r w:rsidR="00A52DB7" w:rsidRPr="002D5459">
        <w:rPr>
          <w:b/>
        </w:rPr>
        <w:t>Reduced the Use of Trolleys</w:t>
      </w:r>
    </w:p>
    <w:p w:rsidR="002D5459" w:rsidRDefault="002D5459" w:rsidP="002D5459">
      <w:pPr>
        <w:pStyle w:val="NoSpacing"/>
      </w:pPr>
    </w:p>
    <w:p w:rsidR="00A52DB7" w:rsidRDefault="00A52DB7" w:rsidP="002D5459">
      <w:pPr>
        <w:pStyle w:val="NoSpacing"/>
        <w:ind w:left="1134"/>
      </w:pPr>
      <w:r>
        <w:t xml:space="preserve">The INMO Trolley Watch totaled 70,116 in the past 12 months. It is estimated that an increase of several hundred in in-patient hospital and day case beds is required to end the </w:t>
      </w:r>
      <w:r w:rsidR="00C10B5F">
        <w:t xml:space="preserve">inappropriate </w:t>
      </w:r>
      <w:r>
        <w:t>use of trolleys</w:t>
      </w:r>
      <w:r w:rsidR="00C10B5F">
        <w:t xml:space="preserve"> and chairs</w:t>
      </w:r>
      <w:r>
        <w:t xml:space="preserve"> for inpatient care. </w:t>
      </w:r>
    </w:p>
    <w:p w:rsidR="00A52DB7" w:rsidRDefault="00A52DB7" w:rsidP="00A52DB7">
      <w:pPr>
        <w:spacing w:after="0" w:line="240" w:lineRule="auto"/>
        <w:ind w:left="1134"/>
      </w:pPr>
    </w:p>
    <w:p w:rsidR="00A52DB7" w:rsidRDefault="00A52DB7" w:rsidP="002D5459">
      <w:pPr>
        <w:numPr>
          <w:ilvl w:val="0"/>
          <w:numId w:val="15"/>
        </w:numPr>
        <w:tabs>
          <w:tab w:val="left" w:pos="1134"/>
        </w:tabs>
        <w:spacing w:after="0" w:line="240" w:lineRule="auto"/>
        <w:ind w:hanging="11"/>
        <w:rPr>
          <w:b/>
        </w:rPr>
      </w:pPr>
      <w:r w:rsidRPr="00B7453A">
        <w:rPr>
          <w:b/>
        </w:rPr>
        <w:t>Increased Public Health Demand due to Reductions in Private Health Insurance.</w:t>
      </w:r>
    </w:p>
    <w:p w:rsidR="00A52DB7" w:rsidRPr="00B7453A" w:rsidRDefault="00A52DB7" w:rsidP="00A52DB7">
      <w:pPr>
        <w:tabs>
          <w:tab w:val="left" w:pos="1134"/>
        </w:tabs>
        <w:spacing w:after="0" w:line="240" w:lineRule="auto"/>
        <w:ind w:left="1980"/>
        <w:rPr>
          <w:b/>
        </w:rPr>
      </w:pPr>
    </w:p>
    <w:p w:rsidR="00A52DB7" w:rsidRDefault="00A52DB7" w:rsidP="00A52DB7">
      <w:pPr>
        <w:spacing w:after="0" w:line="240" w:lineRule="auto"/>
        <w:ind w:left="1134"/>
      </w:pPr>
      <w:r>
        <w:t>A reduction of 42</w:t>
      </w:r>
      <w:r w:rsidRPr="00B7453A">
        <w:t xml:space="preserve">,000 </w:t>
      </w:r>
      <w:r>
        <w:t xml:space="preserve">people </w:t>
      </w:r>
      <w:r w:rsidRPr="00B7453A">
        <w:t xml:space="preserve">with private health insurance </w:t>
      </w:r>
      <w:r>
        <w:t>has occurred in the 12 months to June 2010 representing a decline of 1.8% in private insurance cover.  The equivalent increase in the numbers relying on public healthcare is about 2%.</w:t>
      </w:r>
    </w:p>
    <w:p w:rsidR="00A52DB7" w:rsidRDefault="00A52DB7" w:rsidP="00A52DB7">
      <w:pPr>
        <w:spacing w:after="0" w:line="240" w:lineRule="auto"/>
        <w:ind w:left="1134"/>
      </w:pPr>
    </w:p>
    <w:p w:rsidR="00A52DB7" w:rsidRDefault="002D5459" w:rsidP="00A52DB7">
      <w:pPr>
        <w:tabs>
          <w:tab w:val="left" w:pos="709"/>
          <w:tab w:val="left" w:pos="1134"/>
        </w:tabs>
        <w:spacing w:after="0" w:line="240" w:lineRule="auto"/>
        <w:rPr>
          <w:b/>
        </w:rPr>
      </w:pPr>
      <w:r>
        <w:rPr>
          <w:b/>
        </w:rPr>
        <w:tab/>
        <w:t>(e</w:t>
      </w:r>
      <w:r w:rsidR="00A52DB7">
        <w:rPr>
          <w:b/>
        </w:rPr>
        <w:t>)</w:t>
      </w:r>
      <w:r w:rsidR="00A52DB7">
        <w:rPr>
          <w:b/>
        </w:rPr>
        <w:tab/>
        <w:t>Mental Health Services</w:t>
      </w:r>
      <w:r w:rsidR="00A52DB7" w:rsidRPr="00B7453A">
        <w:rPr>
          <w:b/>
        </w:rPr>
        <w:t>.</w:t>
      </w:r>
    </w:p>
    <w:p w:rsidR="002D5459" w:rsidRPr="00B7453A" w:rsidRDefault="002D5459" w:rsidP="00A52DB7">
      <w:pPr>
        <w:tabs>
          <w:tab w:val="left" w:pos="709"/>
          <w:tab w:val="left" w:pos="1134"/>
        </w:tabs>
        <w:spacing w:after="0" w:line="240" w:lineRule="auto"/>
        <w:rPr>
          <w:b/>
        </w:rPr>
      </w:pPr>
    </w:p>
    <w:p w:rsidR="00A52DB7" w:rsidRDefault="00A52DB7" w:rsidP="00A52DB7">
      <w:pPr>
        <w:spacing w:after="0" w:line="240" w:lineRule="auto"/>
        <w:ind w:left="1080"/>
      </w:pPr>
      <w:r>
        <w:t xml:space="preserve">The overall funding for Mental Health services should be increased significantly. Increased demand for mental health services and the requirement to develop and expand community based mental health services increases staff and other costs.  Increased capital funding is required to facilitate community based services and the provision of separate child and adolescent psychiatric accommodation. </w:t>
      </w:r>
    </w:p>
    <w:p w:rsidR="00F839CD" w:rsidRDefault="00F839CD" w:rsidP="00A52DB7">
      <w:pPr>
        <w:spacing w:after="0" w:line="240" w:lineRule="auto"/>
        <w:ind w:left="1080"/>
      </w:pPr>
    </w:p>
    <w:p w:rsidR="00F839CD" w:rsidRDefault="00F839CD" w:rsidP="00F839CD">
      <w:pPr>
        <w:numPr>
          <w:ilvl w:val="0"/>
          <w:numId w:val="14"/>
        </w:numPr>
        <w:tabs>
          <w:tab w:val="clear" w:pos="1800"/>
          <w:tab w:val="num" w:pos="720"/>
        </w:tabs>
        <w:spacing w:after="0" w:line="240" w:lineRule="auto"/>
        <w:ind w:left="720"/>
        <w:rPr>
          <w:b/>
        </w:rPr>
      </w:pPr>
      <w:r>
        <w:rPr>
          <w:b/>
        </w:rPr>
        <w:t>Unsustainable Cuts</w:t>
      </w:r>
    </w:p>
    <w:p w:rsidR="00F839CD" w:rsidRDefault="00B35C3E" w:rsidP="00F839CD">
      <w:pPr>
        <w:spacing w:after="0" w:line="240" w:lineRule="auto"/>
        <w:ind w:left="720"/>
        <w:rPr>
          <w:b/>
        </w:rPr>
      </w:pPr>
      <w:r>
        <w:t xml:space="preserve">Once off revenue increasing </w:t>
      </w:r>
      <w:r w:rsidR="00F839CD" w:rsidRPr="00B7453A">
        <w:t xml:space="preserve">parts of </w:t>
      </w:r>
      <w:r w:rsidR="00F839CD">
        <w:t>the 2010 Budget,</w:t>
      </w:r>
      <w:r w:rsidR="00F839CD" w:rsidRPr="00B7453A">
        <w:t xml:space="preserve"> </w:t>
      </w:r>
      <w:r w:rsidR="00F839CD">
        <w:t xml:space="preserve">such as the €75m </w:t>
      </w:r>
      <w:r w:rsidR="002231C9">
        <w:t xml:space="preserve">to be collected </w:t>
      </w:r>
      <w:r w:rsidR="0019475D">
        <w:t>through</w:t>
      </w:r>
      <w:r w:rsidR="002231C9">
        <w:t xml:space="preserve"> speedier collection of health insurance fees</w:t>
      </w:r>
      <w:r w:rsidR="00F839CD">
        <w:t>, must be provided for</w:t>
      </w:r>
      <w:r w:rsidR="00F839CD" w:rsidRPr="00B7453A">
        <w:t xml:space="preserve"> in</w:t>
      </w:r>
      <w:r w:rsidR="00F839CD">
        <w:t xml:space="preserve"> the 2011 Budget.</w:t>
      </w:r>
    </w:p>
    <w:p w:rsidR="00F839CD" w:rsidRPr="00B7453A" w:rsidRDefault="00F839CD" w:rsidP="00F839CD">
      <w:pPr>
        <w:spacing w:after="0" w:line="240" w:lineRule="auto"/>
        <w:ind w:left="720"/>
        <w:rPr>
          <w:b/>
        </w:rPr>
      </w:pPr>
    </w:p>
    <w:p w:rsidR="00DB43AA" w:rsidRDefault="00DB43AA" w:rsidP="00DB43AA">
      <w:pPr>
        <w:spacing w:after="0" w:line="240" w:lineRule="auto"/>
        <w:ind w:left="1080"/>
      </w:pPr>
    </w:p>
    <w:p w:rsidR="0076351C" w:rsidRPr="000316DC" w:rsidRDefault="0076351C" w:rsidP="00DB43AA">
      <w:pPr>
        <w:pStyle w:val="Heading1"/>
        <w:spacing w:before="0" w:after="0"/>
      </w:pPr>
      <w:bookmarkStart w:id="1" w:name="_Toc239570062"/>
      <w:r>
        <w:t>Conclusion</w:t>
      </w:r>
      <w:bookmarkEnd w:id="1"/>
    </w:p>
    <w:p w:rsidR="0076351C" w:rsidRDefault="0076351C" w:rsidP="00DB43AA">
      <w:pPr>
        <w:spacing w:after="0" w:line="240" w:lineRule="auto"/>
        <w:rPr>
          <w:b/>
          <w:lang w:val="en-GB"/>
        </w:rPr>
      </w:pPr>
      <w:r w:rsidRPr="0076351C">
        <w:t xml:space="preserve">The IHCA strongly recommends that funding for the delivery of </w:t>
      </w:r>
      <w:r w:rsidR="009167B0">
        <w:t xml:space="preserve">frontline </w:t>
      </w:r>
      <w:r w:rsidRPr="0076351C">
        <w:t>acute hospital and mental health services should be increased, taking account of increasing demand</w:t>
      </w:r>
      <w:r w:rsidRPr="0076351C">
        <w:rPr>
          <w:color w:val="FF0000"/>
        </w:rPr>
        <w:t xml:space="preserve"> </w:t>
      </w:r>
      <w:r w:rsidRPr="0076351C">
        <w:t xml:space="preserve">and other factors outlined in this submission.  </w:t>
      </w:r>
    </w:p>
    <w:sectPr w:rsidR="0076351C" w:rsidSect="00937590">
      <w:headerReference w:type="default" r:id="rId16"/>
      <w:pgSz w:w="12240" w:h="15840"/>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CC" w:rsidRDefault="000603CC" w:rsidP="00F868F1">
      <w:pPr>
        <w:spacing w:after="0" w:line="240" w:lineRule="auto"/>
      </w:pPr>
      <w:r>
        <w:separator/>
      </w:r>
    </w:p>
  </w:endnote>
  <w:endnote w:type="continuationSeparator" w:id="0">
    <w:p w:rsidR="000603CC" w:rsidRDefault="000603CC" w:rsidP="00F86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8368"/>
      <w:gridCol w:w="1208"/>
    </w:tblGrid>
    <w:tr w:rsidR="00A82662" w:rsidTr="005C676E">
      <w:tc>
        <w:tcPr>
          <w:tcW w:w="8472" w:type="dxa"/>
        </w:tcPr>
        <w:p w:rsidR="00A82662" w:rsidRPr="00F4604E" w:rsidRDefault="00A82662">
          <w:pPr>
            <w:pStyle w:val="Footer"/>
            <w:jc w:val="right"/>
            <w:rPr>
              <w:rFonts w:ascii="Cambria" w:hAnsi="Cambria"/>
              <w:b/>
              <w:color w:val="4F81BD"/>
            </w:rPr>
          </w:pPr>
        </w:p>
      </w:tc>
      <w:tc>
        <w:tcPr>
          <w:tcW w:w="1219" w:type="dxa"/>
        </w:tcPr>
        <w:p w:rsidR="00A82662" w:rsidRDefault="000B495A">
          <w:pPr>
            <w:pStyle w:val="Footer"/>
          </w:pPr>
          <w:r w:rsidRPr="00F4604E">
            <w:rPr>
              <w:rFonts w:ascii="Cambria" w:hAnsi="Cambria"/>
            </w:rPr>
            <w:fldChar w:fldCharType="begin"/>
          </w:r>
          <w:r w:rsidR="00A82662" w:rsidRPr="00F4604E">
            <w:rPr>
              <w:rFonts w:ascii="Cambria" w:hAnsi="Cambria"/>
            </w:rPr>
            <w:instrText xml:space="preserve"> PAGE   \* MERGEFORMAT </w:instrText>
          </w:r>
          <w:r w:rsidRPr="00F4604E">
            <w:rPr>
              <w:rFonts w:ascii="Cambria" w:hAnsi="Cambria"/>
            </w:rPr>
            <w:fldChar w:fldCharType="separate"/>
          </w:r>
          <w:r w:rsidR="006943BA" w:rsidRPr="006943BA">
            <w:rPr>
              <w:rFonts w:ascii="Cambria" w:hAnsi="Cambria"/>
              <w:b/>
              <w:noProof/>
              <w:color w:val="4F81BD"/>
            </w:rPr>
            <w:t>8</w:t>
          </w:r>
          <w:r w:rsidRPr="00F4604E">
            <w:rPr>
              <w:rFonts w:ascii="Cambria" w:hAnsi="Cambria"/>
            </w:rPr>
            <w:fldChar w:fldCharType="end"/>
          </w:r>
        </w:p>
      </w:tc>
    </w:tr>
  </w:tbl>
  <w:p w:rsidR="00A82662" w:rsidRPr="00305EFF" w:rsidRDefault="00A82662" w:rsidP="005C676E">
    <w:pPr>
      <w:pStyle w:val="Footer"/>
      <w:tabs>
        <w:tab w:val="clear" w:pos="9360"/>
        <w:tab w:val="right" w:pos="9356"/>
      </w:tabs>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CC" w:rsidRDefault="000603CC" w:rsidP="00F868F1">
      <w:pPr>
        <w:spacing w:after="0" w:line="240" w:lineRule="auto"/>
      </w:pPr>
      <w:r>
        <w:separator/>
      </w:r>
    </w:p>
  </w:footnote>
  <w:footnote w:type="continuationSeparator" w:id="0">
    <w:p w:rsidR="000603CC" w:rsidRDefault="000603CC" w:rsidP="00F868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104"/>
      <w:gridCol w:w="1153"/>
    </w:tblGrid>
    <w:tr w:rsidR="00A82662" w:rsidTr="005C676E">
      <w:trPr>
        <w:trHeight w:val="288"/>
      </w:trPr>
      <w:tc>
        <w:tcPr>
          <w:tcW w:w="7765" w:type="dxa"/>
        </w:tcPr>
        <w:p w:rsidR="00A82662" w:rsidRDefault="000B495A" w:rsidP="005C676E">
          <w:pPr>
            <w:pStyle w:val="Header"/>
            <w:rPr>
              <w:rFonts w:ascii="Cambria" w:hAnsi="Cambria"/>
              <w:sz w:val="36"/>
              <w:szCs w:val="36"/>
            </w:rPr>
          </w:pPr>
          <w:r w:rsidRPr="000B49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577" type="#_x0000_t75" style="position:absolute;margin-left:0;margin-top:0;width:48pt;height:34.5pt;z-index:251657728;mso-position-horizontal:left;mso-position-horizontal-relative:margin;mso-position-vertical:top;mso-position-vertical-relative:margin" o:allowoverlap="f">
                <v:imagedata r:id="rId1" o:title="~AUT0002"/>
                <w10:wrap type="square" anchorx="margin" anchory="margin"/>
              </v:shape>
            </w:pict>
          </w:r>
          <w:r w:rsidR="00A82662" w:rsidRPr="00952066">
            <w:rPr>
              <w:rFonts w:ascii="Cambria" w:hAnsi="Cambria"/>
              <w:sz w:val="32"/>
              <w:szCs w:val="36"/>
              <w:lang w:val="en-IE"/>
            </w:rPr>
            <w:t>Pre Budget Submission on Health Sector Budgets</w:t>
          </w:r>
          <w:r w:rsidR="00A82662">
            <w:rPr>
              <w:rFonts w:ascii="Cambria" w:hAnsi="Cambria"/>
              <w:sz w:val="36"/>
              <w:szCs w:val="36"/>
              <w:lang w:val="en-IE"/>
            </w:rPr>
            <w:t xml:space="preserve"> </w:t>
          </w:r>
        </w:p>
      </w:tc>
      <w:tc>
        <w:tcPr>
          <w:tcW w:w="1105" w:type="dxa"/>
        </w:tcPr>
        <w:p w:rsidR="00A82662" w:rsidRDefault="00A82662" w:rsidP="005C676E">
          <w:pPr>
            <w:pStyle w:val="Header"/>
            <w:rPr>
              <w:rFonts w:ascii="Cambria" w:hAnsi="Cambria"/>
              <w:b/>
              <w:bCs/>
              <w:color w:val="4F81BD"/>
              <w:sz w:val="36"/>
              <w:szCs w:val="36"/>
            </w:rPr>
          </w:pPr>
          <w:r w:rsidRPr="00952066">
            <w:rPr>
              <w:rFonts w:ascii="Cambria" w:hAnsi="Cambria"/>
              <w:b/>
              <w:bCs/>
              <w:sz w:val="32"/>
              <w:szCs w:val="36"/>
            </w:rPr>
            <w:t>2010</w:t>
          </w:r>
        </w:p>
      </w:tc>
    </w:tr>
  </w:tbl>
  <w:p w:rsidR="00A82662" w:rsidRDefault="00A82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80"/>
      <w:gridCol w:w="1810"/>
    </w:tblGrid>
    <w:tr w:rsidR="00A82662" w:rsidTr="005C676E">
      <w:trPr>
        <w:trHeight w:val="288"/>
      </w:trPr>
      <w:tc>
        <w:tcPr>
          <w:tcW w:w="7765" w:type="dxa"/>
        </w:tcPr>
        <w:p w:rsidR="00A82662" w:rsidRPr="0011374B" w:rsidRDefault="00A82662" w:rsidP="007F3DFE">
          <w:pPr>
            <w:pStyle w:val="Heading1"/>
            <w:spacing w:before="0"/>
            <w:jc w:val="center"/>
            <w:rPr>
              <w:rFonts w:asciiTheme="majorHAnsi" w:hAnsiTheme="majorHAnsi"/>
            </w:rPr>
          </w:pPr>
          <w:r w:rsidRPr="0011374B">
            <w:rPr>
              <w:rFonts w:asciiTheme="majorHAnsi" w:hAnsiTheme="majorHAnsi"/>
            </w:rPr>
            <w:t>IHCA Pre-Budget</w:t>
          </w:r>
          <w:r>
            <w:rPr>
              <w:rFonts w:asciiTheme="majorHAnsi" w:hAnsiTheme="majorHAnsi"/>
            </w:rPr>
            <w:t xml:space="preserve"> </w:t>
          </w:r>
          <w:r w:rsidRPr="0011374B">
            <w:rPr>
              <w:rFonts w:asciiTheme="majorHAnsi" w:hAnsiTheme="majorHAnsi"/>
            </w:rPr>
            <w:t>Submission: September 14</w:t>
          </w:r>
          <w:r w:rsidRPr="0011374B">
            <w:rPr>
              <w:rFonts w:asciiTheme="majorHAnsi" w:hAnsiTheme="majorHAnsi"/>
              <w:vertAlign w:val="superscript"/>
            </w:rPr>
            <w:t>th</w:t>
          </w:r>
          <w:r w:rsidRPr="0011374B">
            <w:rPr>
              <w:rFonts w:asciiTheme="majorHAnsi" w:hAnsiTheme="majorHAnsi"/>
            </w:rPr>
            <w:t>, 2010</w:t>
          </w:r>
        </w:p>
        <w:p w:rsidR="00A82662" w:rsidRDefault="00A82662" w:rsidP="005C676E">
          <w:pPr>
            <w:pStyle w:val="Header"/>
            <w:jc w:val="right"/>
            <w:rPr>
              <w:rFonts w:ascii="Cambria" w:hAnsi="Cambria"/>
              <w:sz w:val="36"/>
              <w:szCs w:val="36"/>
            </w:rPr>
          </w:pPr>
        </w:p>
      </w:tc>
      <w:tc>
        <w:tcPr>
          <w:tcW w:w="1105" w:type="dxa"/>
        </w:tcPr>
        <w:p w:rsidR="00A82662" w:rsidRDefault="006943BA" w:rsidP="00957212">
          <w:pPr>
            <w:pStyle w:val="Header"/>
            <w:jc w:val="both"/>
            <w:rPr>
              <w:rFonts w:ascii="Cambria" w:hAnsi="Cambria"/>
              <w:b/>
              <w:bCs/>
              <w:color w:val="4F81BD"/>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75pt;height:54.75pt">
                <v:imagedata r:id="rId1" o:title="IHCA logo blue"/>
              </v:shape>
            </w:pict>
          </w:r>
        </w:p>
      </w:tc>
    </w:tr>
  </w:tbl>
  <w:p w:rsidR="00A82662" w:rsidRDefault="00A82662" w:rsidP="007F3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623"/>
    <w:multiLevelType w:val="hybridMultilevel"/>
    <w:tmpl w:val="E9D073D6"/>
    <w:lvl w:ilvl="0" w:tplc="8A265CF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57C45"/>
    <w:multiLevelType w:val="hybridMultilevel"/>
    <w:tmpl w:val="540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E4B59"/>
    <w:multiLevelType w:val="hybridMultilevel"/>
    <w:tmpl w:val="688AF0C0"/>
    <w:lvl w:ilvl="0" w:tplc="9BE04F28">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E4C9D"/>
    <w:multiLevelType w:val="hybridMultilevel"/>
    <w:tmpl w:val="D840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41F4E"/>
    <w:multiLevelType w:val="hybridMultilevel"/>
    <w:tmpl w:val="582AB4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AF07E1"/>
    <w:multiLevelType w:val="hybridMultilevel"/>
    <w:tmpl w:val="F68C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D7972"/>
    <w:multiLevelType w:val="hybridMultilevel"/>
    <w:tmpl w:val="C98806F0"/>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E3047A"/>
    <w:multiLevelType w:val="hybridMultilevel"/>
    <w:tmpl w:val="4434F5BA"/>
    <w:lvl w:ilvl="0" w:tplc="6BCC1008">
      <w:start w:val="1"/>
      <w:numFmt w:val="decimal"/>
      <w:lvlText w:val="%1."/>
      <w:lvlJc w:val="left"/>
      <w:pPr>
        <w:ind w:left="720" w:hanging="360"/>
      </w:pPr>
      <w:rPr>
        <w:rFonts w:hint="default"/>
        <w:b w:val="0"/>
        <w:sz w:val="22"/>
        <w:szCs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9643F66"/>
    <w:multiLevelType w:val="hybridMultilevel"/>
    <w:tmpl w:val="54A24112"/>
    <w:lvl w:ilvl="0" w:tplc="BFCEF942">
      <w:start w:val="1"/>
      <w:numFmt w:val="lowerRoman"/>
      <w:lvlText w:val="%1."/>
      <w:lvlJc w:val="left"/>
      <w:pPr>
        <w:tabs>
          <w:tab w:val="num" w:pos="-1745"/>
        </w:tabs>
        <w:ind w:left="-1745" w:hanging="720"/>
      </w:pPr>
      <w:rPr>
        <w:rFonts w:hint="default"/>
        <w:b w:val="0"/>
      </w:rPr>
    </w:lvl>
    <w:lvl w:ilvl="1" w:tplc="04090019" w:tentative="1">
      <w:start w:val="1"/>
      <w:numFmt w:val="lowerLetter"/>
      <w:lvlText w:val="%2."/>
      <w:lvlJc w:val="left"/>
      <w:pPr>
        <w:ind w:left="-2105" w:hanging="360"/>
      </w:pPr>
    </w:lvl>
    <w:lvl w:ilvl="2" w:tplc="0409001B" w:tentative="1">
      <w:start w:val="1"/>
      <w:numFmt w:val="lowerRoman"/>
      <w:lvlText w:val="%3."/>
      <w:lvlJc w:val="right"/>
      <w:pPr>
        <w:ind w:left="-1385" w:hanging="180"/>
      </w:pPr>
    </w:lvl>
    <w:lvl w:ilvl="3" w:tplc="0409000F" w:tentative="1">
      <w:start w:val="1"/>
      <w:numFmt w:val="decimal"/>
      <w:lvlText w:val="%4."/>
      <w:lvlJc w:val="left"/>
      <w:pPr>
        <w:ind w:left="-665" w:hanging="360"/>
      </w:pPr>
    </w:lvl>
    <w:lvl w:ilvl="4" w:tplc="04090019" w:tentative="1">
      <w:start w:val="1"/>
      <w:numFmt w:val="lowerLetter"/>
      <w:lvlText w:val="%5."/>
      <w:lvlJc w:val="left"/>
      <w:pPr>
        <w:ind w:left="55" w:hanging="360"/>
      </w:pPr>
    </w:lvl>
    <w:lvl w:ilvl="5" w:tplc="0409001B" w:tentative="1">
      <w:start w:val="1"/>
      <w:numFmt w:val="lowerRoman"/>
      <w:lvlText w:val="%6."/>
      <w:lvlJc w:val="right"/>
      <w:pPr>
        <w:ind w:left="775" w:hanging="180"/>
      </w:pPr>
    </w:lvl>
    <w:lvl w:ilvl="6" w:tplc="0409000F" w:tentative="1">
      <w:start w:val="1"/>
      <w:numFmt w:val="decimal"/>
      <w:lvlText w:val="%7."/>
      <w:lvlJc w:val="left"/>
      <w:pPr>
        <w:ind w:left="1495" w:hanging="360"/>
      </w:pPr>
    </w:lvl>
    <w:lvl w:ilvl="7" w:tplc="04090019" w:tentative="1">
      <w:start w:val="1"/>
      <w:numFmt w:val="lowerLetter"/>
      <w:lvlText w:val="%8."/>
      <w:lvlJc w:val="left"/>
      <w:pPr>
        <w:ind w:left="2215" w:hanging="360"/>
      </w:pPr>
    </w:lvl>
    <w:lvl w:ilvl="8" w:tplc="0409001B" w:tentative="1">
      <w:start w:val="1"/>
      <w:numFmt w:val="lowerRoman"/>
      <w:lvlText w:val="%9."/>
      <w:lvlJc w:val="right"/>
      <w:pPr>
        <w:ind w:left="2935" w:hanging="180"/>
      </w:pPr>
    </w:lvl>
  </w:abstractNum>
  <w:abstractNum w:abstractNumId="9">
    <w:nsid w:val="5DA977FC"/>
    <w:multiLevelType w:val="hybridMultilevel"/>
    <w:tmpl w:val="81C85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EF4131"/>
    <w:multiLevelType w:val="hybridMultilevel"/>
    <w:tmpl w:val="7E9230FE"/>
    <w:lvl w:ilvl="0" w:tplc="80AEF362">
      <w:start w:val="1"/>
      <w:numFmt w:val="decimal"/>
      <w:lvlText w:val="%1."/>
      <w:lvlJc w:val="left"/>
      <w:pPr>
        <w:tabs>
          <w:tab w:val="num" w:pos="862"/>
        </w:tabs>
        <w:ind w:left="862" w:hanging="720"/>
      </w:pPr>
      <w:rPr>
        <w:rFonts w:hint="default"/>
      </w:rPr>
    </w:lvl>
    <w:lvl w:ilvl="1" w:tplc="64E4F50E">
      <w:start w:val="1"/>
      <w:numFmt w:val="lowerRoman"/>
      <w:lvlText w:val="%2."/>
      <w:lvlJc w:val="left"/>
      <w:pPr>
        <w:tabs>
          <w:tab w:val="num" w:pos="1800"/>
        </w:tabs>
        <w:ind w:left="1800" w:hanging="720"/>
      </w:pPr>
      <w:rPr>
        <w:rFonts w:hint="default"/>
      </w:rPr>
    </w:lvl>
    <w:lvl w:ilvl="2" w:tplc="E1F63CE6">
      <w:start w:val="1"/>
      <w:numFmt w:val="bullet"/>
      <w:lvlText w:val=""/>
      <w:lvlJc w:val="left"/>
      <w:pPr>
        <w:tabs>
          <w:tab w:val="num" w:pos="2340"/>
        </w:tabs>
        <w:ind w:left="2340" w:hanging="360"/>
      </w:pPr>
      <w:rPr>
        <w:rFonts w:ascii="Symbol" w:eastAsia="Times New Roman" w:hAnsi="Symbol" w:cs="Times New Roman" w:hint="default"/>
      </w:rPr>
    </w:lvl>
    <w:lvl w:ilvl="3" w:tplc="1DBAEA28">
      <w:start w:val="1"/>
      <w:numFmt w:val="lowerLetter"/>
      <w:lvlText w:val="(%4)"/>
      <w:lvlJc w:val="left"/>
      <w:pPr>
        <w:tabs>
          <w:tab w:val="num" w:pos="1920"/>
        </w:tabs>
        <w:ind w:left="19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C9164C"/>
    <w:multiLevelType w:val="hybridMultilevel"/>
    <w:tmpl w:val="391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261902"/>
    <w:multiLevelType w:val="hybridMultilevel"/>
    <w:tmpl w:val="A294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37068"/>
    <w:multiLevelType w:val="hybridMultilevel"/>
    <w:tmpl w:val="AF04AF0A"/>
    <w:lvl w:ilvl="0" w:tplc="45AC2E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EA005D"/>
    <w:multiLevelType w:val="hybridMultilevel"/>
    <w:tmpl w:val="E81C1BC0"/>
    <w:lvl w:ilvl="0" w:tplc="18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E52C8F2A">
      <w:start w:val="3"/>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12"/>
  </w:num>
  <w:num w:numId="3">
    <w:abstractNumId w:val="11"/>
  </w:num>
  <w:num w:numId="4">
    <w:abstractNumId w:val="7"/>
  </w:num>
  <w:num w:numId="5">
    <w:abstractNumId w:val="0"/>
  </w:num>
  <w:num w:numId="6">
    <w:abstractNumId w:val="4"/>
  </w:num>
  <w:num w:numId="7">
    <w:abstractNumId w:val="14"/>
  </w:num>
  <w:num w:numId="8">
    <w:abstractNumId w:val="6"/>
  </w:num>
  <w:num w:numId="9">
    <w:abstractNumId w:val="3"/>
  </w:num>
  <w:num w:numId="10">
    <w:abstractNumId w:val="8"/>
  </w:num>
  <w:num w:numId="11">
    <w:abstractNumId w:val="9"/>
  </w:num>
  <w:num w:numId="12">
    <w:abstractNumId w:val="10"/>
  </w:num>
  <w:num w:numId="13">
    <w:abstractNumId w:val="5"/>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720"/>
    <w:rsid w:val="00021DB2"/>
    <w:rsid w:val="00026BF3"/>
    <w:rsid w:val="000343F4"/>
    <w:rsid w:val="00036750"/>
    <w:rsid w:val="00043ACD"/>
    <w:rsid w:val="000455B9"/>
    <w:rsid w:val="00046F6A"/>
    <w:rsid w:val="00056C5D"/>
    <w:rsid w:val="000603CC"/>
    <w:rsid w:val="00061416"/>
    <w:rsid w:val="000671E4"/>
    <w:rsid w:val="000751C9"/>
    <w:rsid w:val="00083D63"/>
    <w:rsid w:val="00087491"/>
    <w:rsid w:val="00096586"/>
    <w:rsid w:val="000B19B4"/>
    <w:rsid w:val="000B495A"/>
    <w:rsid w:val="000D5761"/>
    <w:rsid w:val="000E06F4"/>
    <w:rsid w:val="000F110D"/>
    <w:rsid w:val="0011374B"/>
    <w:rsid w:val="0011533A"/>
    <w:rsid w:val="00115852"/>
    <w:rsid w:val="00115B8E"/>
    <w:rsid w:val="0012434C"/>
    <w:rsid w:val="00141613"/>
    <w:rsid w:val="00157A2F"/>
    <w:rsid w:val="00172AC8"/>
    <w:rsid w:val="0019475D"/>
    <w:rsid w:val="001A4B42"/>
    <w:rsid w:val="001A737F"/>
    <w:rsid w:val="001B5253"/>
    <w:rsid w:val="001F6D60"/>
    <w:rsid w:val="0021584F"/>
    <w:rsid w:val="002231C9"/>
    <w:rsid w:val="0022339A"/>
    <w:rsid w:val="002521D8"/>
    <w:rsid w:val="002A18AA"/>
    <w:rsid w:val="002D5459"/>
    <w:rsid w:val="002F49D0"/>
    <w:rsid w:val="00301562"/>
    <w:rsid w:val="0030209B"/>
    <w:rsid w:val="00305E9D"/>
    <w:rsid w:val="0032124A"/>
    <w:rsid w:val="003213BE"/>
    <w:rsid w:val="00326860"/>
    <w:rsid w:val="00344AE8"/>
    <w:rsid w:val="003566CA"/>
    <w:rsid w:val="00365A94"/>
    <w:rsid w:val="003734F5"/>
    <w:rsid w:val="00376002"/>
    <w:rsid w:val="00385B74"/>
    <w:rsid w:val="00395720"/>
    <w:rsid w:val="003A64CB"/>
    <w:rsid w:val="003B41E5"/>
    <w:rsid w:val="003C2061"/>
    <w:rsid w:val="003D4676"/>
    <w:rsid w:val="003D7ED1"/>
    <w:rsid w:val="003E4E46"/>
    <w:rsid w:val="003E74F1"/>
    <w:rsid w:val="0040550B"/>
    <w:rsid w:val="0041731A"/>
    <w:rsid w:val="0042305E"/>
    <w:rsid w:val="00424388"/>
    <w:rsid w:val="00426AA5"/>
    <w:rsid w:val="00440309"/>
    <w:rsid w:val="004720DC"/>
    <w:rsid w:val="00482ABC"/>
    <w:rsid w:val="0049151C"/>
    <w:rsid w:val="00492E14"/>
    <w:rsid w:val="004951F2"/>
    <w:rsid w:val="004B7C96"/>
    <w:rsid w:val="004C189A"/>
    <w:rsid w:val="004C3B60"/>
    <w:rsid w:val="004F594C"/>
    <w:rsid w:val="00500AEF"/>
    <w:rsid w:val="00504509"/>
    <w:rsid w:val="00514643"/>
    <w:rsid w:val="00581349"/>
    <w:rsid w:val="00581F3E"/>
    <w:rsid w:val="00592BF1"/>
    <w:rsid w:val="005930E5"/>
    <w:rsid w:val="00594E6E"/>
    <w:rsid w:val="005967D4"/>
    <w:rsid w:val="005A15DE"/>
    <w:rsid w:val="005A78BE"/>
    <w:rsid w:val="005B207C"/>
    <w:rsid w:val="005C676E"/>
    <w:rsid w:val="005C712B"/>
    <w:rsid w:val="005E7F60"/>
    <w:rsid w:val="005F3888"/>
    <w:rsid w:val="006020BC"/>
    <w:rsid w:val="00603859"/>
    <w:rsid w:val="00615B2E"/>
    <w:rsid w:val="0064770F"/>
    <w:rsid w:val="00661E77"/>
    <w:rsid w:val="006757BB"/>
    <w:rsid w:val="006943BA"/>
    <w:rsid w:val="006C20C4"/>
    <w:rsid w:val="006D6120"/>
    <w:rsid w:val="006E6568"/>
    <w:rsid w:val="006E6BBB"/>
    <w:rsid w:val="006E763D"/>
    <w:rsid w:val="007013C1"/>
    <w:rsid w:val="007043C4"/>
    <w:rsid w:val="00705628"/>
    <w:rsid w:val="00711D9A"/>
    <w:rsid w:val="00721565"/>
    <w:rsid w:val="007273E6"/>
    <w:rsid w:val="00727C79"/>
    <w:rsid w:val="007372C1"/>
    <w:rsid w:val="00741FE8"/>
    <w:rsid w:val="00757209"/>
    <w:rsid w:val="007623DE"/>
    <w:rsid w:val="0076351C"/>
    <w:rsid w:val="007A7D55"/>
    <w:rsid w:val="007C4E29"/>
    <w:rsid w:val="007D6334"/>
    <w:rsid w:val="007F3DFE"/>
    <w:rsid w:val="0081405F"/>
    <w:rsid w:val="0089152B"/>
    <w:rsid w:val="008C54E0"/>
    <w:rsid w:val="008D6E29"/>
    <w:rsid w:val="008F15BD"/>
    <w:rsid w:val="009167B0"/>
    <w:rsid w:val="00916A78"/>
    <w:rsid w:val="00916C8B"/>
    <w:rsid w:val="00922711"/>
    <w:rsid w:val="009311CA"/>
    <w:rsid w:val="00934795"/>
    <w:rsid w:val="00937590"/>
    <w:rsid w:val="009447C7"/>
    <w:rsid w:val="009546D2"/>
    <w:rsid w:val="00957212"/>
    <w:rsid w:val="009651C8"/>
    <w:rsid w:val="00971205"/>
    <w:rsid w:val="009A1DFB"/>
    <w:rsid w:val="009E4513"/>
    <w:rsid w:val="009F15FB"/>
    <w:rsid w:val="00A01C8D"/>
    <w:rsid w:val="00A16266"/>
    <w:rsid w:val="00A212C6"/>
    <w:rsid w:val="00A21992"/>
    <w:rsid w:val="00A52DB7"/>
    <w:rsid w:val="00A82662"/>
    <w:rsid w:val="00A84497"/>
    <w:rsid w:val="00AA5374"/>
    <w:rsid w:val="00AA6FF9"/>
    <w:rsid w:val="00AB0F2A"/>
    <w:rsid w:val="00AF2EC9"/>
    <w:rsid w:val="00B22ACB"/>
    <w:rsid w:val="00B34E34"/>
    <w:rsid w:val="00B35C3E"/>
    <w:rsid w:val="00B74F0E"/>
    <w:rsid w:val="00B91FDA"/>
    <w:rsid w:val="00B9508F"/>
    <w:rsid w:val="00B967E9"/>
    <w:rsid w:val="00BA085E"/>
    <w:rsid w:val="00BB47F8"/>
    <w:rsid w:val="00BE3295"/>
    <w:rsid w:val="00BF2125"/>
    <w:rsid w:val="00C10B5F"/>
    <w:rsid w:val="00C634C3"/>
    <w:rsid w:val="00C758F0"/>
    <w:rsid w:val="00C92620"/>
    <w:rsid w:val="00C9343C"/>
    <w:rsid w:val="00C96B0F"/>
    <w:rsid w:val="00CC0A8F"/>
    <w:rsid w:val="00CF52FC"/>
    <w:rsid w:val="00D05BA0"/>
    <w:rsid w:val="00D35836"/>
    <w:rsid w:val="00D44D96"/>
    <w:rsid w:val="00D55FC4"/>
    <w:rsid w:val="00D567EC"/>
    <w:rsid w:val="00D61F31"/>
    <w:rsid w:val="00D81568"/>
    <w:rsid w:val="00D97326"/>
    <w:rsid w:val="00DB31C5"/>
    <w:rsid w:val="00DB43AA"/>
    <w:rsid w:val="00DB4E3D"/>
    <w:rsid w:val="00DC1074"/>
    <w:rsid w:val="00DD09AA"/>
    <w:rsid w:val="00DD395C"/>
    <w:rsid w:val="00DE7305"/>
    <w:rsid w:val="00E12423"/>
    <w:rsid w:val="00E2653F"/>
    <w:rsid w:val="00E30809"/>
    <w:rsid w:val="00E371C7"/>
    <w:rsid w:val="00E5434D"/>
    <w:rsid w:val="00E70433"/>
    <w:rsid w:val="00E853E9"/>
    <w:rsid w:val="00E8768B"/>
    <w:rsid w:val="00EA0D16"/>
    <w:rsid w:val="00EB79B9"/>
    <w:rsid w:val="00EB7C91"/>
    <w:rsid w:val="00EE017E"/>
    <w:rsid w:val="00EE39FF"/>
    <w:rsid w:val="00EF6DA6"/>
    <w:rsid w:val="00F01DC1"/>
    <w:rsid w:val="00F06A98"/>
    <w:rsid w:val="00F14C72"/>
    <w:rsid w:val="00F1603C"/>
    <w:rsid w:val="00F36C35"/>
    <w:rsid w:val="00F409F1"/>
    <w:rsid w:val="00F4242D"/>
    <w:rsid w:val="00F64BCD"/>
    <w:rsid w:val="00F72135"/>
    <w:rsid w:val="00F76F77"/>
    <w:rsid w:val="00F839CD"/>
    <w:rsid w:val="00F83A7F"/>
    <w:rsid w:val="00F868F1"/>
    <w:rsid w:val="00F86D8A"/>
    <w:rsid w:val="00F94460"/>
    <w:rsid w:val="00FB7E7A"/>
    <w:rsid w:val="00FC14D3"/>
    <w:rsid w:val="00FC6542"/>
    <w:rsid w:val="00FD63FF"/>
    <w:rsid w:val="00FE1244"/>
    <w:rsid w:val="00FF31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7A"/>
    <w:pPr>
      <w:spacing w:after="200" w:line="276" w:lineRule="auto"/>
    </w:pPr>
    <w:rPr>
      <w:sz w:val="22"/>
      <w:szCs w:val="22"/>
    </w:rPr>
  </w:style>
  <w:style w:type="paragraph" w:styleId="Heading1">
    <w:name w:val="heading 1"/>
    <w:basedOn w:val="Normal"/>
    <w:next w:val="Normal"/>
    <w:link w:val="Heading1Char"/>
    <w:qFormat/>
    <w:rsid w:val="00514643"/>
    <w:pPr>
      <w:keepNext/>
      <w:spacing w:before="240" w:after="60" w:line="240" w:lineRule="auto"/>
      <w:outlineLvl w:val="0"/>
    </w:pPr>
    <w:rPr>
      <w:rFonts w:ascii="Cambria" w:eastAsia="Times New Roman" w:hAnsi="Cambria"/>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24A"/>
    <w:pPr>
      <w:ind w:left="720"/>
      <w:contextualSpacing/>
    </w:pPr>
  </w:style>
  <w:style w:type="paragraph" w:styleId="Header">
    <w:name w:val="header"/>
    <w:basedOn w:val="Normal"/>
    <w:link w:val="HeaderChar"/>
    <w:uiPriority w:val="99"/>
    <w:unhideWhenUsed/>
    <w:rsid w:val="00F868F1"/>
    <w:pPr>
      <w:tabs>
        <w:tab w:val="center" w:pos="4680"/>
        <w:tab w:val="right" w:pos="9360"/>
      </w:tabs>
    </w:pPr>
  </w:style>
  <w:style w:type="character" w:customStyle="1" w:styleId="HeaderChar">
    <w:name w:val="Header Char"/>
    <w:basedOn w:val="DefaultParagraphFont"/>
    <w:link w:val="Header"/>
    <w:uiPriority w:val="99"/>
    <w:rsid w:val="00F868F1"/>
    <w:rPr>
      <w:sz w:val="22"/>
      <w:szCs w:val="22"/>
    </w:rPr>
  </w:style>
  <w:style w:type="paragraph" w:styleId="Footer">
    <w:name w:val="footer"/>
    <w:basedOn w:val="Normal"/>
    <w:link w:val="FooterChar"/>
    <w:uiPriority w:val="99"/>
    <w:unhideWhenUsed/>
    <w:rsid w:val="00F868F1"/>
    <w:pPr>
      <w:tabs>
        <w:tab w:val="center" w:pos="4680"/>
        <w:tab w:val="right" w:pos="9360"/>
      </w:tabs>
    </w:pPr>
  </w:style>
  <w:style w:type="character" w:customStyle="1" w:styleId="FooterChar">
    <w:name w:val="Footer Char"/>
    <w:basedOn w:val="DefaultParagraphFont"/>
    <w:link w:val="Footer"/>
    <w:uiPriority w:val="99"/>
    <w:rsid w:val="00F868F1"/>
    <w:rPr>
      <w:sz w:val="22"/>
      <w:szCs w:val="22"/>
    </w:rPr>
  </w:style>
  <w:style w:type="character" w:styleId="Hyperlink">
    <w:name w:val="Hyperlink"/>
    <w:basedOn w:val="DefaultParagraphFont"/>
    <w:uiPriority w:val="99"/>
    <w:rsid w:val="00F868F1"/>
    <w:rPr>
      <w:color w:val="0000FF"/>
      <w:u w:val="single"/>
    </w:rPr>
  </w:style>
  <w:style w:type="character" w:customStyle="1" w:styleId="Heading1Char">
    <w:name w:val="Heading 1 Char"/>
    <w:basedOn w:val="DefaultParagraphFont"/>
    <w:link w:val="Heading1"/>
    <w:rsid w:val="00514643"/>
    <w:rPr>
      <w:rFonts w:ascii="Cambria" w:eastAsia="Times New Roman" w:hAnsi="Cambria"/>
      <w:b/>
      <w:bCs/>
      <w:kern w:val="32"/>
      <w:sz w:val="32"/>
      <w:szCs w:val="32"/>
      <w:lang w:val="en-IE"/>
    </w:rPr>
  </w:style>
  <w:style w:type="character" w:styleId="SubtleEmphasis">
    <w:name w:val="Subtle Emphasis"/>
    <w:basedOn w:val="DefaultParagraphFont"/>
    <w:uiPriority w:val="19"/>
    <w:qFormat/>
    <w:rsid w:val="00514643"/>
    <w:rPr>
      <w:i/>
      <w:iCs/>
      <w:color w:val="808080"/>
    </w:rPr>
  </w:style>
  <w:style w:type="table" w:styleId="TableGrid">
    <w:name w:val="Table Grid"/>
    <w:basedOn w:val="TableNormal"/>
    <w:uiPriority w:val="59"/>
    <w:rsid w:val="00F72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1374B"/>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hca.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hca.ie" TargetMode="External"/><Relationship Id="rId14" Type="http://schemas.openxmlformats.org/officeDocument/2006/relationships/image" Target="cid:image002.png@01CB50CA.505BA3F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E7D2-08F9-4A72-A954-C01B141B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Duffy</dc:creator>
  <cp:keywords/>
  <dc:description/>
  <cp:lastModifiedBy>c.boylan</cp:lastModifiedBy>
  <cp:revision>8</cp:revision>
  <cp:lastPrinted>2010-09-22T15:22:00Z</cp:lastPrinted>
  <dcterms:created xsi:type="dcterms:W3CDTF">2010-09-14T11:24:00Z</dcterms:created>
  <dcterms:modified xsi:type="dcterms:W3CDTF">2010-09-22T15:24:00Z</dcterms:modified>
</cp:coreProperties>
</file>